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方正小标宋简体" w:hAnsi="宋体" w:eastAsia="方正小标宋简体"/>
          <w:sz w:val="44"/>
          <w:szCs w:val="44"/>
          <w:highlight w:val="none"/>
        </w:rPr>
      </w:pPr>
    </w:p>
    <w:p>
      <w:pPr>
        <w:spacing w:line="580" w:lineRule="exact"/>
        <w:ind w:firstLine="1320" w:firstLineChars="300"/>
        <w:jc w:val="both"/>
        <w:rPr>
          <w:rFonts w:hint="eastAsia" w:ascii="方正小标宋简体" w:hAnsi="宋体" w:eastAsia="方正小标宋简体"/>
          <w:sz w:val="44"/>
          <w:szCs w:val="44"/>
          <w:highlight w:val="none"/>
          <w:lang w:val="en-US" w:eastAsia="zh-CN"/>
        </w:rPr>
      </w:pPr>
      <w:r>
        <w:rPr>
          <w:rFonts w:hint="eastAsia" w:ascii="方正小标宋简体" w:hAnsi="宋体" w:eastAsia="方正小标宋简体"/>
          <w:sz w:val="44"/>
          <w:szCs w:val="44"/>
          <w:highlight w:val="none"/>
          <w:lang w:val="en-US" w:eastAsia="zh-CN"/>
        </w:rPr>
        <w:t>四川省经济和社会发展研究院</w:t>
      </w:r>
    </w:p>
    <w:p>
      <w:pPr>
        <w:spacing w:line="580" w:lineRule="exact"/>
        <w:ind w:firstLine="1760" w:firstLineChars="400"/>
        <w:jc w:val="both"/>
        <w:rPr>
          <w:rFonts w:hint="eastAsia" w:ascii="方正小标宋简体" w:hAnsi="宋体" w:eastAsia="方正小标宋简体"/>
          <w:sz w:val="44"/>
          <w:szCs w:val="44"/>
          <w:highlight w:val="none"/>
          <w:lang w:val="en-US" w:eastAsia="zh-CN"/>
        </w:rPr>
      </w:pPr>
      <w:r>
        <w:rPr>
          <w:rFonts w:hint="eastAsia" w:ascii="方正小标宋简体" w:hAnsi="宋体" w:eastAsia="方正小标宋简体"/>
          <w:sz w:val="44"/>
          <w:szCs w:val="44"/>
          <w:highlight w:val="none"/>
          <w:lang w:val="en-US" w:eastAsia="zh-CN"/>
        </w:rPr>
        <w:t>（四川省节能低碳中心）</w:t>
      </w:r>
    </w:p>
    <w:p>
      <w:pPr>
        <w:spacing w:line="580" w:lineRule="exact"/>
        <w:ind w:firstLine="1760" w:firstLineChars="400"/>
        <w:jc w:val="both"/>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lang w:eastAsia="zh-CN"/>
        </w:rPr>
        <w:t>202</w:t>
      </w:r>
      <w:r>
        <w:rPr>
          <w:rFonts w:hint="eastAsia" w:ascii="方正小标宋简体" w:hAnsi="宋体" w:eastAsia="方正小标宋简体"/>
          <w:sz w:val="44"/>
          <w:szCs w:val="44"/>
          <w:highlight w:val="none"/>
          <w:lang w:val="en-US" w:eastAsia="zh-CN"/>
        </w:rPr>
        <w:t>1</w:t>
      </w:r>
      <w:r>
        <w:rPr>
          <w:rFonts w:hint="eastAsia" w:ascii="方正小标宋简体" w:hAnsi="宋体" w:eastAsia="方正小标宋简体"/>
          <w:sz w:val="44"/>
          <w:szCs w:val="44"/>
          <w:highlight w:val="none"/>
          <w:lang w:eastAsia="zh-CN"/>
        </w:rPr>
        <w:t>年</w:t>
      </w:r>
      <w:r>
        <w:rPr>
          <w:rFonts w:hint="eastAsia" w:ascii="方正小标宋简体" w:hAnsi="宋体" w:eastAsia="方正小标宋简体"/>
          <w:sz w:val="44"/>
          <w:szCs w:val="44"/>
          <w:highlight w:val="none"/>
          <w:lang w:val="en-US" w:eastAsia="zh-CN"/>
        </w:rPr>
        <w:t>单位</w:t>
      </w:r>
      <w:r>
        <w:rPr>
          <w:rFonts w:hint="eastAsia" w:ascii="方正小标宋简体" w:hAnsi="宋体" w:eastAsia="方正小标宋简体"/>
          <w:sz w:val="44"/>
          <w:szCs w:val="44"/>
          <w:highlight w:val="none"/>
        </w:rPr>
        <w:t>预算编制说明</w:t>
      </w:r>
    </w:p>
    <w:p>
      <w:pPr>
        <w:spacing w:line="580" w:lineRule="exact"/>
        <w:ind w:firstLine="1760" w:firstLineChars="400"/>
        <w:jc w:val="both"/>
        <w:rPr>
          <w:rFonts w:hint="eastAsia" w:ascii="方正小标宋简体" w:hAnsi="宋体" w:eastAsia="方正小标宋简体"/>
          <w:sz w:val="44"/>
          <w:szCs w:val="44"/>
          <w:highlight w:val="none"/>
        </w:rPr>
      </w:pPr>
    </w:p>
    <w:p>
      <w:pPr>
        <w:spacing w:line="580" w:lineRule="exact"/>
        <w:ind w:firstLine="640" w:firstLineChars="200"/>
        <w:rPr>
          <w:rFonts w:hint="eastAsia" w:ascii="黑体" w:eastAsia="黑体"/>
          <w:highlight w:val="none"/>
        </w:rPr>
      </w:pPr>
      <w:r>
        <w:rPr>
          <w:rFonts w:hint="eastAsia" w:ascii="黑体" w:eastAsia="黑体"/>
          <w:highlight w:val="none"/>
        </w:rPr>
        <w:t>一、基本职能及主要工作</w:t>
      </w:r>
    </w:p>
    <w:p>
      <w:pPr>
        <w:pStyle w:val="2"/>
        <w:adjustRightInd w:val="0"/>
        <w:spacing w:before="130" w:line="580" w:lineRule="exact"/>
        <w:ind w:firstLine="675" w:firstLineChars="210"/>
        <w:rPr>
          <w:rFonts w:hint="eastAsia" w:ascii="楷体_GB2312" w:eastAsia="楷体_GB2312"/>
          <w:b/>
          <w:sz w:val="32"/>
          <w:highlight w:val="none"/>
        </w:rPr>
      </w:pPr>
      <w:r>
        <w:rPr>
          <w:rFonts w:hint="eastAsia" w:ascii="楷体_GB2312" w:eastAsia="楷体_GB2312"/>
          <w:b/>
          <w:sz w:val="32"/>
          <w:highlight w:val="none"/>
        </w:rPr>
        <w:t>（一）</w:t>
      </w:r>
      <w:r>
        <w:rPr>
          <w:rFonts w:hint="eastAsia" w:ascii="楷体_GB2312" w:eastAsia="楷体_GB2312"/>
          <w:b/>
          <w:sz w:val="32"/>
          <w:highlight w:val="none"/>
          <w:lang w:val="en-US" w:eastAsia="zh-CN"/>
        </w:rPr>
        <w:t>省经社研院</w:t>
      </w:r>
      <w:r>
        <w:rPr>
          <w:rFonts w:hint="eastAsia" w:ascii="楷体_GB2312" w:eastAsia="楷体_GB2312"/>
          <w:b/>
          <w:sz w:val="32"/>
          <w:highlight w:val="none"/>
        </w:rPr>
        <w:t>职能简介</w:t>
      </w:r>
    </w:p>
    <w:p>
      <w:pPr>
        <w:pStyle w:val="2"/>
        <w:adjustRightInd w:val="0"/>
        <w:spacing w:before="130" w:line="580" w:lineRule="exact"/>
        <w:ind w:firstLine="672" w:firstLineChars="210"/>
        <w:rPr>
          <w:rFonts w:hint="default"/>
          <w:bCs/>
          <w:sz w:val="32"/>
          <w:highlight w:val="none"/>
          <w:u w:val="none"/>
          <w:lang w:val="en-US" w:eastAsia="zh-CN"/>
        </w:rPr>
      </w:pPr>
      <w:r>
        <w:rPr>
          <w:rFonts w:hint="eastAsia"/>
          <w:bCs/>
          <w:sz w:val="32"/>
          <w:highlight w:val="none"/>
          <w:u w:val="none"/>
          <w:lang w:val="en-US" w:eastAsia="zh-CN"/>
        </w:rPr>
        <w:t>围绕经济和社会发展的重大战略、重大规划、重大政策、重大改革、重点问题等开展应用性研究，为省委、省政府决策提供咨询服务。</w:t>
      </w:r>
    </w:p>
    <w:p>
      <w:pPr>
        <w:pStyle w:val="2"/>
        <w:numPr>
          <w:ilvl w:val="0"/>
          <w:numId w:val="1"/>
        </w:numPr>
        <w:adjustRightInd w:val="0"/>
        <w:spacing w:before="130" w:line="580" w:lineRule="exact"/>
        <w:ind w:firstLine="675" w:firstLineChars="210"/>
        <w:rPr>
          <w:rFonts w:hint="eastAsia" w:ascii="楷体_GB2312" w:eastAsia="楷体_GB2312"/>
          <w:b/>
          <w:sz w:val="32"/>
          <w:highlight w:val="none"/>
        </w:rPr>
      </w:pPr>
      <w:r>
        <w:rPr>
          <w:rFonts w:hint="eastAsia" w:ascii="楷体_GB2312" w:eastAsia="楷体_GB2312"/>
          <w:b/>
          <w:sz w:val="32"/>
          <w:highlight w:val="none"/>
          <w:lang w:val="en-US" w:eastAsia="zh-CN"/>
        </w:rPr>
        <w:t>省经社研院</w:t>
      </w:r>
      <w:r>
        <w:rPr>
          <w:rFonts w:hint="eastAsia" w:ascii="楷体_GB2312" w:eastAsia="楷体_GB2312"/>
          <w:b/>
          <w:sz w:val="32"/>
          <w:highlight w:val="none"/>
          <w:lang w:eastAsia="zh-CN"/>
        </w:rPr>
        <w:t>202</w:t>
      </w:r>
      <w:r>
        <w:rPr>
          <w:rFonts w:hint="eastAsia" w:ascii="楷体_GB2312" w:eastAsia="楷体_GB2312"/>
          <w:b/>
          <w:sz w:val="32"/>
          <w:highlight w:val="none"/>
          <w:lang w:val="en-US" w:eastAsia="zh-CN"/>
        </w:rPr>
        <w:t>1</w:t>
      </w:r>
      <w:r>
        <w:rPr>
          <w:rFonts w:hint="eastAsia" w:ascii="楷体_GB2312" w:eastAsia="楷体_GB2312"/>
          <w:b/>
          <w:sz w:val="32"/>
          <w:highlight w:val="none"/>
          <w:lang w:eastAsia="zh-CN"/>
        </w:rPr>
        <w:t>年</w:t>
      </w:r>
      <w:r>
        <w:rPr>
          <w:rFonts w:hint="eastAsia" w:ascii="楷体_GB2312" w:eastAsia="楷体_GB2312"/>
          <w:b/>
          <w:sz w:val="32"/>
          <w:highlight w:val="none"/>
        </w:rPr>
        <w:t>重点工作</w:t>
      </w:r>
    </w:p>
    <w:p>
      <w:pPr>
        <w:pStyle w:val="2"/>
        <w:numPr>
          <w:ilvl w:val="0"/>
          <w:numId w:val="2"/>
        </w:numPr>
        <w:adjustRightInd w:val="0"/>
        <w:spacing w:before="130" w:line="580" w:lineRule="exact"/>
        <w:ind w:firstLine="640" w:firstLineChars="200"/>
        <w:rPr>
          <w:rFonts w:ascii="仿宋_GB2312" w:hAnsi="仿宋"/>
          <w:szCs w:val="32"/>
        </w:rPr>
      </w:pPr>
      <w:r>
        <w:rPr>
          <w:rFonts w:hint="eastAsia" w:ascii="仿宋_GB2312" w:hAnsi="仿宋" w:eastAsia="仿宋_GB2312" w:cs="Times New Roman"/>
          <w:kern w:val="2"/>
          <w:sz w:val="32"/>
          <w:szCs w:val="32"/>
          <w:lang w:val="en-US" w:eastAsia="zh-CN" w:bidi="ar-SA"/>
        </w:rPr>
        <w:t>继续加强理论学习和纪律作风建设。</w:t>
      </w:r>
      <w:r>
        <w:rPr>
          <w:rFonts w:ascii="仿宋_GB2312" w:hAnsi="仿宋"/>
          <w:szCs w:val="32"/>
        </w:rPr>
        <w:t>把思想政治建设放在第一位，坚持用科学理论武装头脑、指导实践</w:t>
      </w:r>
      <w:r>
        <w:rPr>
          <w:rFonts w:hint="eastAsia" w:ascii="仿宋_GB2312" w:hAnsi="仿宋"/>
          <w:szCs w:val="32"/>
        </w:rPr>
        <w:t>，继续</w:t>
      </w:r>
      <w:r>
        <w:rPr>
          <w:rFonts w:ascii="仿宋_GB2312" w:hAnsi="仿宋"/>
          <w:szCs w:val="32"/>
        </w:rPr>
        <w:t>深入学习贯彻党章、党的十</w:t>
      </w:r>
      <w:r>
        <w:rPr>
          <w:rFonts w:hint="eastAsia" w:ascii="仿宋_GB2312" w:hAnsi="仿宋"/>
          <w:szCs w:val="32"/>
        </w:rPr>
        <w:t>九大精神</w:t>
      </w:r>
      <w:r>
        <w:rPr>
          <w:rFonts w:ascii="仿宋_GB2312" w:hAnsi="仿宋"/>
          <w:szCs w:val="32"/>
        </w:rPr>
        <w:t>、习近平总书记系列重要讲话精神，以及省委全</w:t>
      </w:r>
      <w:r>
        <w:rPr>
          <w:rFonts w:hint="eastAsia" w:ascii="仿宋_GB2312" w:hAnsi="仿宋"/>
          <w:szCs w:val="32"/>
        </w:rPr>
        <w:t>委</w:t>
      </w:r>
      <w:r>
        <w:rPr>
          <w:rFonts w:ascii="仿宋_GB2312" w:hAnsi="仿宋"/>
          <w:szCs w:val="32"/>
        </w:rPr>
        <w:t>会精神，着力用中央、省委</w:t>
      </w:r>
      <w:r>
        <w:rPr>
          <w:rFonts w:hint="eastAsia" w:ascii="仿宋_GB2312" w:hAnsi="仿宋"/>
          <w:szCs w:val="32"/>
        </w:rPr>
        <w:t>、省发改委</w:t>
      </w:r>
      <w:r>
        <w:rPr>
          <w:rFonts w:ascii="仿宋_GB2312" w:hAnsi="仿宋"/>
          <w:szCs w:val="32"/>
        </w:rPr>
        <w:t>的决策部署和指示精神统一思想，凝聚共识，不断增强党员干部谋势而动、驾驭全局的能力</w:t>
      </w:r>
      <w:r>
        <w:rPr>
          <w:rFonts w:hint="eastAsia" w:ascii="仿宋_GB2312" w:hAnsi="仿宋"/>
          <w:szCs w:val="32"/>
        </w:rPr>
        <w:t>。加强纪律作风建设，认真贯彻落实党风廉政建设责任制，健全监督约束机制，议案促，营造风清气正的良好政治生态和工作氛围。</w:t>
      </w:r>
    </w:p>
    <w:p>
      <w:pPr>
        <w:pStyle w:val="2"/>
        <w:numPr>
          <w:ilvl w:val="0"/>
          <w:numId w:val="2"/>
        </w:numPr>
        <w:adjustRightInd w:val="0"/>
        <w:spacing w:before="130" w:line="580" w:lineRule="exact"/>
        <w:ind w:firstLine="640" w:firstLineChars="200"/>
        <w:rPr>
          <w:rFonts w:hint="eastAsia" w:ascii="仿宋_GB2312" w:hAnsi="仿宋"/>
          <w:szCs w:val="32"/>
        </w:rPr>
      </w:pPr>
      <w:r>
        <w:rPr>
          <w:rFonts w:hint="eastAsia" w:ascii="仿宋_GB2312" w:hAnsi="仿宋" w:eastAsia="仿宋_GB2312" w:cs="Times New Roman"/>
          <w:kern w:val="2"/>
          <w:sz w:val="32"/>
          <w:szCs w:val="32"/>
          <w:lang w:val="en-US" w:eastAsia="zh-CN" w:bidi="ar-SA"/>
        </w:rPr>
        <w:t>确保党建工作规范化。</w:t>
      </w:r>
      <w:r>
        <w:rPr>
          <w:rFonts w:hint="eastAsia" w:ascii="仿宋_GB2312" w:hAnsi="仿宋"/>
          <w:szCs w:val="32"/>
        </w:rPr>
        <w:t>充分发挥院党委的指导作用，加强对党支部的指导，强化党员教育；充分发挥党支部主体作用，建立健全管理机制，继续加强党员积分制管理，使积分制管理真正做到能操作、接地气，对推动重点工作完成情况起到量化的作用。对党建工作进行规范化管理，突出落实党建工作责任制。</w:t>
      </w:r>
      <w:r>
        <w:rPr>
          <w:rFonts w:ascii="仿宋_GB2312"/>
          <w:szCs w:val="32"/>
        </w:rPr>
        <w:t>做好入党积极分子的培养工作</w:t>
      </w:r>
      <w:r>
        <w:rPr>
          <w:rFonts w:hint="eastAsia" w:ascii="仿宋_GB2312"/>
          <w:szCs w:val="32"/>
        </w:rPr>
        <w:t>，</w:t>
      </w:r>
      <w:r>
        <w:rPr>
          <w:rFonts w:ascii="仿宋_GB2312"/>
          <w:szCs w:val="32"/>
        </w:rPr>
        <w:t>完成支部换届选举</w:t>
      </w:r>
      <w:r>
        <w:rPr>
          <w:rFonts w:hint="eastAsia" w:ascii="仿宋_GB2312"/>
          <w:szCs w:val="32"/>
        </w:rPr>
        <w:t>。</w:t>
      </w:r>
      <w:r>
        <w:rPr>
          <w:rFonts w:hint="eastAsia" w:ascii="仿宋_GB2312" w:hAnsi="仿宋"/>
          <w:szCs w:val="32"/>
        </w:rPr>
        <w:t>坚持“一岗两责”、两位一体，进一步建立健全“三会一课”、“民主评议党员”、“党员承诺践诺”、把党建工作与业务工作目标同定，任务同下，工作同步，考核同行，纳入统一管理，使落实党建工作逐步形成制度化规范化。</w:t>
      </w:r>
    </w:p>
    <w:p>
      <w:pPr>
        <w:pStyle w:val="2"/>
        <w:numPr>
          <w:ilvl w:val="0"/>
          <w:numId w:val="2"/>
        </w:numPr>
        <w:adjustRightInd w:val="0"/>
        <w:spacing w:before="130" w:line="580" w:lineRule="exact"/>
        <w:ind w:firstLine="600" w:firstLineChars="200"/>
        <w:rPr>
          <w:rFonts w:ascii="仿宋_GB2312"/>
          <w:szCs w:val="32"/>
        </w:rPr>
      </w:pPr>
      <w:r>
        <w:rPr>
          <w:rFonts w:hint="eastAsia" w:ascii="仿宋_GB2312" w:hAnsi="仿宋"/>
          <w:szCs w:val="32"/>
        </w:rPr>
        <w:t>围绕省委省政府省发改委中心工作开展研究</w:t>
      </w:r>
      <w:r>
        <w:rPr>
          <w:rFonts w:hint="eastAsia" w:ascii="仿宋_GB2312" w:hAnsi="仿宋"/>
          <w:szCs w:val="32"/>
          <w:lang w:eastAsia="zh-CN"/>
        </w:rPr>
        <w:t>。</w:t>
      </w:r>
      <w:r>
        <w:rPr>
          <w:rFonts w:hint="eastAsia" w:ascii="仿宋_GB2312" w:hAnsi="仿宋"/>
          <w:szCs w:val="32"/>
        </w:rPr>
        <w:t>准确把握国际国内经济走势，学习领会中央政策精神，深刻认识省情新变化，围绕省委、省政府、省发改委中心工作，主动作为，加强服务意思，重点开展经济形势分析、成渝地区双城经济圈建设、小城镇建设、固定资产投资、乡村振兴、改革创新等专题研究，服务全省“一干多支、五区协同”、“四向拓展、全域开放”战略实施，助推经济社会高质量发展。</w:t>
      </w:r>
    </w:p>
    <w:p>
      <w:pPr>
        <w:pStyle w:val="2"/>
        <w:numPr>
          <w:ilvl w:val="0"/>
          <w:numId w:val="2"/>
        </w:numPr>
        <w:adjustRightInd w:val="0"/>
        <w:spacing w:before="130" w:line="580" w:lineRule="exact"/>
        <w:ind w:firstLine="640" w:firstLineChars="200"/>
        <w:rPr>
          <w:rFonts w:hint="default" w:ascii="仿宋_GB2312"/>
          <w:highlight w:val="none"/>
          <w:lang w:val="en-US" w:eastAsia="zh-CN"/>
        </w:rPr>
      </w:pPr>
      <w:r>
        <w:rPr>
          <w:rFonts w:hint="eastAsia" w:ascii="仿宋_GB2312" w:hAnsi="仿宋" w:eastAsia="仿宋_GB2312" w:cs="Times New Roman"/>
          <w:kern w:val="2"/>
          <w:sz w:val="32"/>
          <w:szCs w:val="32"/>
          <w:lang w:val="en-US" w:eastAsia="zh-CN" w:bidi="ar-SA"/>
        </w:rPr>
        <w:t>进一步提高科研成果水平和服务质量。</w:t>
      </w:r>
      <w:r>
        <w:rPr>
          <w:rFonts w:hint="eastAsia" w:ascii="仿宋_GB2312"/>
          <w:szCs w:val="32"/>
        </w:rPr>
        <w:t>构建课题研究质量控制体系，充分发挥学术委员会的作用，严格把控课题选题、招投标和评审工作，探索建立课题预评审机制，提高课题研究质量。深入开展基层实地调研，获得第一手素材，深化新形势下对省情的认识，突出研究工作的针对性和操作性。加大人才培养和引进力度，形成一支知识结构、年龄结构、职称结构、学历结构合理，有团结协作精神的科研队伍。</w:t>
      </w:r>
    </w:p>
    <w:p>
      <w:pPr>
        <w:pStyle w:val="2"/>
        <w:numPr>
          <w:ilvl w:val="0"/>
          <w:numId w:val="2"/>
        </w:numPr>
        <w:adjustRightInd w:val="0"/>
        <w:spacing w:before="130" w:line="580" w:lineRule="exact"/>
        <w:ind w:firstLine="640" w:firstLineChars="200"/>
        <w:rPr>
          <w:rFonts w:hint="default" w:ascii="仿宋_GB2312"/>
          <w:highlight w:val="none"/>
          <w:lang w:val="en-US" w:eastAsia="zh-CN"/>
        </w:rPr>
      </w:pPr>
      <w:r>
        <w:rPr>
          <w:rFonts w:hint="eastAsia" w:ascii="仿宋_GB2312" w:hAnsi="仿宋" w:eastAsia="仿宋_GB2312" w:cs="Times New Roman"/>
          <w:kern w:val="2"/>
          <w:sz w:val="32"/>
          <w:szCs w:val="32"/>
          <w:lang w:val="en-US" w:eastAsia="zh-CN" w:bidi="ar-SA"/>
        </w:rPr>
        <w:t>加强和完善院内制度建设和机制创新。</w:t>
      </w:r>
      <w:r>
        <w:rPr>
          <w:rFonts w:hint="eastAsia" w:ascii="仿宋_GB2312"/>
          <w:szCs w:val="32"/>
        </w:rPr>
        <w:t>尽快完成院各类岗位的人员配置</w:t>
      </w:r>
      <w:r>
        <w:rPr>
          <w:rFonts w:ascii="仿宋_GB2312"/>
          <w:szCs w:val="32"/>
        </w:rPr>
        <w:t>。</w:t>
      </w:r>
      <w:r>
        <w:rPr>
          <w:rFonts w:hint="eastAsia" w:ascii="仿宋_GB2312" w:hAnsi="仿宋"/>
          <w:szCs w:val="32"/>
        </w:rPr>
        <w:t>强化服务省委省政府和发改委中心工作在科研人员绩效考评中的分量，提升科研人员的服务能力和质量。</w:t>
      </w:r>
      <w:r>
        <w:rPr>
          <w:rFonts w:hint="eastAsia" w:ascii="仿宋_GB2312"/>
          <w:szCs w:val="32"/>
        </w:rPr>
        <w:t>进一步加强内控制度建设，健全科研经费使用管理，激发员工工作积极性。促进新入职科研人员尽快到岗，充实科研人才队伍。积极探索外聘学者、科研合作等模式，增强我院科研力量。继续做好行政管理，后勤服务，财务、人事、档案、劳资等工作，努力为科研管理提供保障服务。积极活跃工会活动，关心职工，服务职工，切实为职工办实事、办好事、解难事。</w:t>
      </w:r>
      <w:r>
        <w:rPr>
          <w:rFonts w:hint="eastAsia" w:eastAsia="楷体_GB2312"/>
          <w:b/>
          <w:szCs w:val="32"/>
          <w:lang w:val="en-US" w:eastAsia="zh-CN"/>
        </w:rPr>
        <w:t xml:space="preserve"> </w:t>
      </w:r>
    </w:p>
    <w:p>
      <w:pPr>
        <w:spacing w:line="580" w:lineRule="exact"/>
        <w:ind w:firstLine="640" w:firstLineChars="200"/>
        <w:rPr>
          <w:rFonts w:hint="eastAsia" w:ascii="黑体" w:eastAsia="黑体"/>
          <w:highlight w:val="none"/>
        </w:rPr>
      </w:pPr>
      <w:r>
        <w:rPr>
          <w:rFonts w:hint="eastAsia" w:ascii="黑体" w:eastAsia="黑体"/>
          <w:highlight w:val="none"/>
        </w:rPr>
        <w:t>二、收支预算情况说明</w:t>
      </w:r>
    </w:p>
    <w:p>
      <w:pPr>
        <w:spacing w:line="580" w:lineRule="exact"/>
        <w:ind w:firstLine="640" w:firstLineChars="200"/>
        <w:rPr>
          <w:rFonts w:hint="eastAsia" w:ascii="仿宋_GB2312"/>
          <w:highlight w:val="none"/>
        </w:rPr>
      </w:pPr>
      <w:r>
        <w:rPr>
          <w:rFonts w:hint="eastAsia"/>
          <w:highlight w:val="none"/>
        </w:rPr>
        <w:t>按照综合预算的原则，</w:t>
      </w:r>
      <w:r>
        <w:rPr>
          <w:rFonts w:hint="eastAsia"/>
          <w:highlight w:val="none"/>
          <w:lang w:val="en-US" w:eastAsia="zh-CN"/>
        </w:rPr>
        <w:t>省经社研院</w:t>
      </w:r>
      <w:r>
        <w:rPr>
          <w:rFonts w:hint="eastAsia" w:ascii="仿宋_GB2312"/>
          <w:highlight w:val="none"/>
        </w:rPr>
        <w:t>所有收入和支出均纳入</w:t>
      </w:r>
      <w:r>
        <w:rPr>
          <w:rFonts w:hint="eastAsia" w:ascii="仿宋_GB2312"/>
          <w:highlight w:val="none"/>
          <w:lang w:val="en-US" w:eastAsia="zh-CN"/>
        </w:rPr>
        <w:t>单位</w:t>
      </w:r>
      <w:r>
        <w:rPr>
          <w:rFonts w:hint="eastAsia" w:ascii="仿宋_GB2312"/>
          <w:highlight w:val="none"/>
        </w:rPr>
        <w:t>预算管理。收入包括：一般公共预算拨款收入</w:t>
      </w:r>
      <w:r>
        <w:rPr>
          <w:rFonts w:hint="eastAsia" w:ascii="仿宋_GB2312"/>
          <w:highlight w:val="none"/>
          <w:lang w:eastAsia="zh-CN"/>
        </w:rPr>
        <w:t>、</w:t>
      </w:r>
      <w:r>
        <w:rPr>
          <w:rFonts w:hint="eastAsia" w:ascii="仿宋_GB2312"/>
          <w:highlight w:val="none"/>
        </w:rPr>
        <w:t>事业单位经营收入；支出包括：一般公共服务支出、教育支出</w:t>
      </w:r>
      <w:r>
        <w:rPr>
          <w:rFonts w:hint="eastAsia" w:ascii="仿宋_GB2312"/>
          <w:highlight w:val="none"/>
          <w:lang w:eastAsia="zh-CN"/>
        </w:rPr>
        <w:t>、</w:t>
      </w:r>
      <w:r>
        <w:rPr>
          <w:rFonts w:hint="eastAsia" w:ascii="仿宋_GB2312"/>
          <w:highlight w:val="none"/>
          <w:lang w:val="en-US" w:eastAsia="zh-CN"/>
        </w:rPr>
        <w:t>科学技术支出、社会保障和就业支出、卫生健康支出、住房保障支出</w:t>
      </w:r>
      <w:r>
        <w:rPr>
          <w:rFonts w:hint="eastAsia" w:ascii="仿宋_GB2312"/>
          <w:highlight w:val="none"/>
        </w:rPr>
        <w:t>。</w:t>
      </w:r>
      <w:r>
        <w:rPr>
          <w:rFonts w:hint="eastAsia"/>
          <w:highlight w:val="none"/>
          <w:lang w:eastAsia="zh-CN"/>
        </w:rPr>
        <w:t>省经社研院</w:t>
      </w:r>
      <w:r>
        <w:rPr>
          <w:rFonts w:hint="eastAsia" w:ascii="仿宋_GB2312"/>
          <w:highlight w:val="none"/>
          <w:lang w:eastAsia="zh-CN"/>
        </w:rPr>
        <w:t>2021年</w:t>
      </w:r>
      <w:r>
        <w:rPr>
          <w:rFonts w:hint="eastAsia" w:ascii="仿宋_GB2312"/>
          <w:highlight w:val="none"/>
        </w:rPr>
        <w:t>收支总预算</w:t>
      </w:r>
      <w:r>
        <w:rPr>
          <w:rFonts w:hint="eastAsia" w:ascii="仿宋_GB2312"/>
          <w:highlight w:val="none"/>
          <w:lang w:val="en-US" w:eastAsia="zh-CN"/>
        </w:rPr>
        <w:t>1125.37</w:t>
      </w:r>
      <w:r>
        <w:rPr>
          <w:rFonts w:hint="eastAsia" w:ascii="仿宋_GB2312"/>
          <w:highlight w:val="none"/>
        </w:rPr>
        <w:t>万元,比</w:t>
      </w:r>
      <w:r>
        <w:rPr>
          <w:rFonts w:hint="eastAsia" w:ascii="仿宋_GB2312"/>
          <w:highlight w:val="none"/>
          <w:lang w:eastAsia="zh-CN"/>
        </w:rPr>
        <w:t>2020年</w:t>
      </w:r>
      <w:r>
        <w:rPr>
          <w:rFonts w:hint="eastAsia" w:ascii="仿宋_GB2312"/>
          <w:highlight w:val="none"/>
        </w:rPr>
        <w:t>收支预算总数</w:t>
      </w:r>
      <w:r>
        <w:rPr>
          <w:rFonts w:hint="eastAsia" w:ascii="仿宋_GB2312"/>
          <w:highlight w:val="none"/>
          <w:u w:val="none"/>
        </w:rPr>
        <w:t>增加</w:t>
      </w:r>
      <w:r>
        <w:rPr>
          <w:rFonts w:hint="eastAsia" w:ascii="仿宋_GB2312"/>
          <w:highlight w:val="none"/>
          <w:u w:val="none"/>
          <w:lang w:val="en-US" w:eastAsia="zh-CN"/>
        </w:rPr>
        <w:t>196.28</w:t>
      </w:r>
      <w:r>
        <w:rPr>
          <w:rFonts w:hint="eastAsia" w:ascii="仿宋_GB2312"/>
          <w:highlight w:val="none"/>
        </w:rPr>
        <w:t>万元，主要原因</w:t>
      </w:r>
      <w:r>
        <w:rPr>
          <w:rFonts w:hint="eastAsia" w:ascii="仿宋_GB2312"/>
          <w:highlight w:val="none"/>
          <w:lang w:val="en-US" w:eastAsia="zh-CN"/>
        </w:rPr>
        <w:t>是2021年科研课题数量增加、2020年未完成课题预算资金结转至2021年继续使用、人员预计有增加，基本支出预算增多</w:t>
      </w:r>
      <w:r>
        <w:rPr>
          <w:rFonts w:hint="eastAsia" w:ascii="仿宋_GB2312"/>
          <w:highlight w:val="none"/>
        </w:rPr>
        <w:t>。</w:t>
      </w:r>
    </w:p>
    <w:p>
      <w:pPr>
        <w:spacing w:line="580" w:lineRule="exact"/>
        <w:ind w:firstLine="643" w:firstLineChars="200"/>
        <w:rPr>
          <w:rFonts w:hint="eastAsia" w:ascii="楷体_GB2312" w:eastAsia="楷体_GB2312"/>
          <w:b/>
          <w:highlight w:val="none"/>
        </w:rPr>
      </w:pPr>
      <w:r>
        <w:rPr>
          <w:rFonts w:hint="eastAsia" w:ascii="楷体_GB2312" w:eastAsia="楷体_GB2312"/>
          <w:b/>
          <w:highlight w:val="none"/>
        </w:rPr>
        <w:t>（一）收入预算情况</w:t>
      </w:r>
    </w:p>
    <w:p>
      <w:pPr>
        <w:spacing w:line="580" w:lineRule="exact"/>
        <w:ind w:firstLine="640" w:firstLineChars="200"/>
        <w:rPr>
          <w:rFonts w:hint="eastAsia" w:ascii="仿宋_GB2312"/>
          <w:highlight w:val="none"/>
        </w:rPr>
      </w:pPr>
      <w:r>
        <w:rPr>
          <w:rFonts w:hint="eastAsia"/>
          <w:highlight w:val="none"/>
          <w:lang w:eastAsia="zh-CN"/>
        </w:rPr>
        <w:t>省经社研院</w:t>
      </w:r>
      <w:r>
        <w:rPr>
          <w:rFonts w:hint="eastAsia" w:ascii="仿宋_GB2312"/>
          <w:highlight w:val="none"/>
          <w:lang w:eastAsia="zh-CN"/>
        </w:rPr>
        <w:t>2021年</w:t>
      </w:r>
      <w:r>
        <w:rPr>
          <w:rFonts w:hint="eastAsia" w:ascii="仿宋_GB2312"/>
          <w:highlight w:val="none"/>
        </w:rPr>
        <w:t>收入预算</w:t>
      </w:r>
      <w:r>
        <w:rPr>
          <w:rFonts w:hint="eastAsia" w:ascii="仿宋_GB2312"/>
          <w:highlight w:val="none"/>
          <w:lang w:val="en-US" w:eastAsia="zh-CN"/>
        </w:rPr>
        <w:t>1125.37</w:t>
      </w:r>
      <w:r>
        <w:rPr>
          <w:rFonts w:hint="eastAsia" w:ascii="仿宋_GB2312"/>
          <w:highlight w:val="none"/>
        </w:rPr>
        <w:t>万元，其中：上年结转</w:t>
      </w:r>
      <w:r>
        <w:rPr>
          <w:rFonts w:hint="eastAsia" w:ascii="仿宋_GB2312"/>
          <w:highlight w:val="none"/>
          <w:lang w:val="en-US" w:eastAsia="zh-CN"/>
        </w:rPr>
        <w:t>91.37</w:t>
      </w:r>
      <w:r>
        <w:rPr>
          <w:rFonts w:hint="eastAsia" w:ascii="仿宋_GB2312"/>
          <w:highlight w:val="none"/>
        </w:rPr>
        <w:t>万元，占</w:t>
      </w:r>
      <w:r>
        <w:rPr>
          <w:rFonts w:hint="eastAsia" w:ascii="仿宋_GB2312"/>
          <w:highlight w:val="none"/>
          <w:lang w:val="en-US" w:eastAsia="zh-CN"/>
        </w:rPr>
        <w:t>8</w:t>
      </w:r>
      <w:r>
        <w:rPr>
          <w:rFonts w:hint="eastAsia" w:ascii="仿宋_GB2312"/>
          <w:highlight w:val="none"/>
        </w:rPr>
        <w:t>%；一般公共预算拨款收入</w:t>
      </w:r>
      <w:r>
        <w:rPr>
          <w:rFonts w:hint="eastAsia" w:ascii="仿宋_GB2312"/>
          <w:highlight w:val="none"/>
          <w:lang w:val="en-US" w:eastAsia="zh-CN"/>
        </w:rPr>
        <w:t>480.61</w:t>
      </w:r>
      <w:r>
        <w:rPr>
          <w:rFonts w:hint="eastAsia" w:ascii="仿宋_GB2312"/>
          <w:highlight w:val="none"/>
        </w:rPr>
        <w:t>万元，占</w:t>
      </w:r>
      <w:r>
        <w:rPr>
          <w:rFonts w:hint="eastAsia" w:ascii="仿宋_GB2312"/>
          <w:highlight w:val="none"/>
          <w:lang w:val="en-US" w:eastAsia="zh-CN"/>
        </w:rPr>
        <w:t>43</w:t>
      </w:r>
      <w:r>
        <w:rPr>
          <w:rFonts w:hint="eastAsia" w:ascii="仿宋_GB2312"/>
          <w:highlight w:val="none"/>
        </w:rPr>
        <w:t>%；事业</w:t>
      </w:r>
      <w:r>
        <w:rPr>
          <w:rFonts w:hint="eastAsia" w:ascii="仿宋_GB2312"/>
          <w:highlight w:val="none"/>
          <w:lang w:val="en-US" w:eastAsia="zh-CN"/>
        </w:rPr>
        <w:t>单位经营</w:t>
      </w:r>
      <w:r>
        <w:rPr>
          <w:rFonts w:hint="eastAsia" w:ascii="仿宋_GB2312"/>
          <w:highlight w:val="none"/>
        </w:rPr>
        <w:t>收入</w:t>
      </w:r>
      <w:r>
        <w:rPr>
          <w:rFonts w:hint="eastAsia" w:ascii="仿宋_GB2312"/>
          <w:highlight w:val="none"/>
          <w:lang w:val="en-US" w:eastAsia="zh-CN"/>
        </w:rPr>
        <w:t>553.39</w:t>
      </w:r>
      <w:r>
        <w:rPr>
          <w:rFonts w:hint="eastAsia" w:ascii="仿宋_GB2312"/>
          <w:highlight w:val="none"/>
        </w:rPr>
        <w:t>万元，占</w:t>
      </w:r>
      <w:r>
        <w:rPr>
          <w:rFonts w:hint="eastAsia" w:ascii="仿宋_GB2312"/>
          <w:highlight w:val="none"/>
          <w:lang w:val="en-US" w:eastAsia="zh-CN"/>
        </w:rPr>
        <w:t>49</w:t>
      </w:r>
      <w:r>
        <w:rPr>
          <w:rFonts w:hint="eastAsia" w:ascii="仿宋_GB2312"/>
          <w:highlight w:val="none"/>
        </w:rPr>
        <w:t>%。</w:t>
      </w:r>
    </w:p>
    <w:p>
      <w:pPr>
        <w:spacing w:line="580" w:lineRule="exact"/>
        <w:ind w:firstLine="643" w:firstLineChars="200"/>
        <w:rPr>
          <w:rFonts w:hint="eastAsia" w:ascii="楷体_GB2312" w:eastAsia="楷体_GB2312"/>
          <w:b/>
          <w:highlight w:val="none"/>
        </w:rPr>
      </w:pPr>
      <w:r>
        <w:rPr>
          <w:rFonts w:hint="eastAsia" w:ascii="楷体_GB2312" w:eastAsia="楷体_GB2312"/>
          <w:b/>
          <w:highlight w:val="none"/>
        </w:rPr>
        <w:t>（二）支出预算情况</w:t>
      </w:r>
    </w:p>
    <w:p>
      <w:pPr>
        <w:spacing w:line="580" w:lineRule="exact"/>
        <w:ind w:firstLine="640" w:firstLineChars="200"/>
        <w:rPr>
          <w:rFonts w:hint="eastAsia" w:ascii="仿宋_GB2312"/>
          <w:highlight w:val="none"/>
          <w:u w:val="single"/>
        </w:rPr>
      </w:pPr>
      <w:r>
        <w:rPr>
          <w:rFonts w:hint="eastAsia"/>
          <w:highlight w:val="none"/>
          <w:lang w:eastAsia="zh-CN"/>
        </w:rPr>
        <w:t>省经社研院</w:t>
      </w:r>
      <w:r>
        <w:rPr>
          <w:rFonts w:hint="eastAsia" w:ascii="仿宋_GB2312"/>
          <w:highlight w:val="none"/>
          <w:lang w:eastAsia="zh-CN"/>
        </w:rPr>
        <w:t>2021年</w:t>
      </w:r>
      <w:r>
        <w:rPr>
          <w:rFonts w:hint="eastAsia" w:ascii="仿宋_GB2312"/>
          <w:highlight w:val="none"/>
        </w:rPr>
        <w:t>支出预算</w:t>
      </w:r>
      <w:r>
        <w:rPr>
          <w:rFonts w:hint="eastAsia" w:ascii="仿宋_GB2312"/>
          <w:highlight w:val="none"/>
          <w:lang w:val="en-US" w:eastAsia="zh-CN"/>
        </w:rPr>
        <w:t>1125.37</w:t>
      </w:r>
      <w:r>
        <w:rPr>
          <w:rFonts w:hint="eastAsia" w:ascii="仿宋_GB2312"/>
          <w:highlight w:val="none"/>
        </w:rPr>
        <w:t>万元，其中：基本支出</w:t>
      </w:r>
      <w:r>
        <w:rPr>
          <w:rFonts w:hint="eastAsia" w:ascii="仿宋_GB2312"/>
          <w:highlight w:val="none"/>
          <w:lang w:val="en-US" w:eastAsia="zh-CN"/>
        </w:rPr>
        <w:t>908.62</w:t>
      </w:r>
      <w:r>
        <w:rPr>
          <w:rFonts w:hint="eastAsia" w:ascii="仿宋_GB2312"/>
          <w:highlight w:val="none"/>
        </w:rPr>
        <w:t>万元，占</w:t>
      </w:r>
      <w:r>
        <w:rPr>
          <w:rFonts w:hint="eastAsia" w:ascii="仿宋_GB2312"/>
          <w:highlight w:val="none"/>
          <w:lang w:val="en-US" w:eastAsia="zh-CN"/>
        </w:rPr>
        <w:t>81</w:t>
      </w:r>
      <w:r>
        <w:rPr>
          <w:rFonts w:hint="eastAsia" w:ascii="仿宋_GB2312"/>
          <w:highlight w:val="none"/>
        </w:rPr>
        <w:t>%；项目支出</w:t>
      </w:r>
      <w:r>
        <w:rPr>
          <w:rFonts w:hint="eastAsia" w:ascii="仿宋_GB2312"/>
          <w:highlight w:val="none"/>
          <w:lang w:val="en-US" w:eastAsia="zh-CN"/>
        </w:rPr>
        <w:t>216.75</w:t>
      </w:r>
      <w:r>
        <w:rPr>
          <w:rFonts w:hint="eastAsia" w:ascii="仿宋_GB2312"/>
          <w:highlight w:val="none"/>
        </w:rPr>
        <w:t>万元，占</w:t>
      </w:r>
      <w:r>
        <w:rPr>
          <w:rFonts w:hint="eastAsia" w:ascii="仿宋_GB2312"/>
          <w:highlight w:val="none"/>
          <w:lang w:val="en-US" w:eastAsia="zh-CN"/>
        </w:rPr>
        <w:t>19</w:t>
      </w:r>
      <w:r>
        <w:rPr>
          <w:rFonts w:hint="eastAsia" w:ascii="仿宋_GB2312"/>
          <w:highlight w:val="none"/>
        </w:rPr>
        <w:t>%</w:t>
      </w:r>
      <w:r>
        <w:rPr>
          <w:rFonts w:hint="eastAsia" w:ascii="仿宋_GB2312"/>
          <w:highlight w:val="none"/>
          <w:u w:val="none"/>
        </w:rPr>
        <w:t>。</w:t>
      </w:r>
    </w:p>
    <w:p>
      <w:pPr>
        <w:spacing w:line="580" w:lineRule="exact"/>
        <w:ind w:firstLine="640" w:firstLineChars="200"/>
        <w:rPr>
          <w:rFonts w:hint="eastAsia" w:ascii="黑体" w:eastAsia="黑体"/>
          <w:highlight w:val="none"/>
        </w:rPr>
      </w:pPr>
      <w:r>
        <w:rPr>
          <w:rFonts w:hint="eastAsia" w:ascii="黑体" w:eastAsia="黑体"/>
          <w:highlight w:val="none"/>
          <w:lang w:eastAsia="zh-CN"/>
        </w:rPr>
        <w:t>三</w:t>
      </w:r>
      <w:r>
        <w:rPr>
          <w:rFonts w:hint="eastAsia" w:ascii="黑体" w:eastAsia="黑体"/>
          <w:highlight w:val="none"/>
        </w:rPr>
        <w:t>、财政拨款收支预算情况说明</w:t>
      </w:r>
    </w:p>
    <w:p>
      <w:pPr>
        <w:spacing w:line="580" w:lineRule="exact"/>
        <w:ind w:firstLine="640" w:firstLineChars="200"/>
        <w:rPr>
          <w:rFonts w:hint="eastAsia" w:ascii="仿宋_GB2312"/>
          <w:highlight w:val="none"/>
        </w:rPr>
      </w:pPr>
      <w:r>
        <w:rPr>
          <w:rFonts w:hint="eastAsia"/>
          <w:highlight w:val="none"/>
          <w:lang w:eastAsia="zh-CN"/>
        </w:rPr>
        <w:t>省经社研院</w:t>
      </w:r>
      <w:r>
        <w:rPr>
          <w:rFonts w:hint="eastAsia" w:ascii="仿宋_GB2312"/>
          <w:highlight w:val="none"/>
          <w:lang w:eastAsia="zh-CN"/>
        </w:rPr>
        <w:t>2021年</w:t>
      </w:r>
      <w:r>
        <w:rPr>
          <w:rFonts w:hint="eastAsia" w:ascii="仿宋_GB2312"/>
          <w:highlight w:val="none"/>
        </w:rPr>
        <w:t>财政拨款收支总预算</w:t>
      </w:r>
      <w:r>
        <w:rPr>
          <w:rFonts w:hint="eastAsia" w:ascii="仿宋_GB2312"/>
          <w:highlight w:val="none"/>
          <w:lang w:val="en-US" w:eastAsia="zh-CN"/>
        </w:rPr>
        <w:t>571.98</w:t>
      </w:r>
      <w:r>
        <w:rPr>
          <w:rFonts w:hint="eastAsia" w:ascii="仿宋_GB2312"/>
          <w:highlight w:val="none"/>
        </w:rPr>
        <w:t>万元,比</w:t>
      </w:r>
      <w:r>
        <w:rPr>
          <w:rFonts w:hint="eastAsia" w:ascii="仿宋_GB2312"/>
          <w:highlight w:val="none"/>
          <w:lang w:eastAsia="zh-CN"/>
        </w:rPr>
        <w:t>2020</w:t>
      </w:r>
      <w:r>
        <w:rPr>
          <w:rFonts w:hint="eastAsia" w:ascii="仿宋_GB2312"/>
          <w:highlight w:val="none"/>
        </w:rPr>
        <w:t>年财政拨款收支总预算</w:t>
      </w:r>
      <w:r>
        <w:rPr>
          <w:rFonts w:hint="eastAsia" w:ascii="仿宋_GB2312"/>
          <w:highlight w:val="none"/>
          <w:u w:val="none"/>
        </w:rPr>
        <w:t>增加</w:t>
      </w:r>
      <w:r>
        <w:rPr>
          <w:rFonts w:hint="eastAsia" w:ascii="仿宋_GB2312"/>
          <w:highlight w:val="none"/>
          <w:u w:val="none"/>
          <w:lang w:val="en-US" w:eastAsia="zh-CN"/>
        </w:rPr>
        <w:t>124.58</w:t>
      </w:r>
      <w:r>
        <w:rPr>
          <w:rFonts w:hint="eastAsia" w:ascii="仿宋_GB2312"/>
          <w:highlight w:val="none"/>
        </w:rPr>
        <w:t>万元，主要原因是</w:t>
      </w:r>
      <w:r>
        <w:rPr>
          <w:rFonts w:hint="eastAsia" w:ascii="仿宋_GB2312"/>
          <w:highlight w:val="none"/>
          <w:lang w:val="en-US" w:eastAsia="zh-CN"/>
        </w:rPr>
        <w:t>2020年未完成课题预算资金结转至2021年继续使用、新增基本科研业务费、新增成都平原经济区区域创新体系建设研究经费</w:t>
      </w:r>
      <w:r>
        <w:rPr>
          <w:rFonts w:hint="eastAsia" w:ascii="仿宋_GB2312"/>
          <w:highlight w:val="none"/>
        </w:rPr>
        <w:t>。</w:t>
      </w:r>
    </w:p>
    <w:p>
      <w:pPr>
        <w:spacing w:line="580" w:lineRule="exact"/>
        <w:ind w:firstLine="640" w:firstLineChars="200"/>
        <w:rPr>
          <w:rFonts w:hint="default" w:ascii="仿宋_GB2312" w:eastAsia="仿宋_GB2312"/>
          <w:highlight w:val="none"/>
          <w:u w:val="single"/>
          <w:lang w:val="en-US" w:eastAsia="zh-CN"/>
        </w:rPr>
      </w:pPr>
      <w:r>
        <w:rPr>
          <w:rFonts w:hint="eastAsia" w:ascii="仿宋_GB2312"/>
          <w:highlight w:val="none"/>
        </w:rPr>
        <w:t>收入包括：本年一般公共预算拨款收入</w:t>
      </w:r>
      <w:r>
        <w:rPr>
          <w:rFonts w:hint="eastAsia" w:ascii="仿宋_GB2312"/>
          <w:highlight w:val="none"/>
          <w:lang w:val="en-US" w:eastAsia="zh-CN"/>
        </w:rPr>
        <w:t>480.61</w:t>
      </w:r>
      <w:r>
        <w:rPr>
          <w:rFonts w:hint="eastAsia" w:ascii="仿宋_GB2312"/>
          <w:highlight w:val="none"/>
        </w:rPr>
        <w:t>万元、</w:t>
      </w:r>
      <w:r>
        <w:rPr>
          <w:rFonts w:hint="eastAsia" w:ascii="仿宋_GB2312"/>
          <w:highlight w:val="none"/>
          <w:lang w:val="en-US" w:eastAsia="zh-CN"/>
        </w:rPr>
        <w:t>上年结转</w:t>
      </w:r>
      <w:r>
        <w:rPr>
          <w:rFonts w:hint="eastAsia" w:ascii="仿宋_GB2312"/>
          <w:highlight w:val="none"/>
        </w:rPr>
        <w:t>一般公共预算拨款收</w:t>
      </w:r>
      <w:r>
        <w:rPr>
          <w:rFonts w:hint="eastAsia" w:ascii="仿宋_GB2312"/>
          <w:highlight w:val="none"/>
          <w:lang w:val="en-US" w:eastAsia="zh-CN"/>
        </w:rPr>
        <w:t>入91.37万元</w:t>
      </w:r>
      <w:r>
        <w:rPr>
          <w:rFonts w:hint="eastAsia" w:ascii="仿宋_GB2312"/>
          <w:highlight w:val="none"/>
        </w:rPr>
        <w:t>；支出包括：一般公共服务支出</w:t>
      </w:r>
      <w:r>
        <w:rPr>
          <w:rFonts w:hint="eastAsia" w:ascii="仿宋_GB2312"/>
          <w:highlight w:val="none"/>
          <w:lang w:val="en-US" w:eastAsia="zh-CN"/>
        </w:rPr>
        <w:t>63</w:t>
      </w:r>
      <w:r>
        <w:rPr>
          <w:rFonts w:hint="eastAsia" w:ascii="仿宋_GB2312"/>
          <w:highlight w:val="none"/>
        </w:rPr>
        <w:t>万元、</w:t>
      </w:r>
      <w:r>
        <w:rPr>
          <w:rFonts w:hint="eastAsia" w:ascii="仿宋_GB2312"/>
          <w:highlight w:val="none"/>
          <w:lang w:val="en-US" w:eastAsia="zh-CN"/>
        </w:rPr>
        <w:t>科学技术支出400.78万元、社会保障和就业支出46.48万元、卫生健康支出18.21万元、住房保障支出43.51万元。</w:t>
      </w:r>
    </w:p>
    <w:p>
      <w:pPr>
        <w:spacing w:line="580" w:lineRule="exact"/>
        <w:ind w:firstLine="640" w:firstLineChars="200"/>
        <w:rPr>
          <w:rFonts w:hint="eastAsia" w:ascii="黑体" w:eastAsia="黑体"/>
          <w:highlight w:val="none"/>
        </w:rPr>
      </w:pPr>
      <w:r>
        <w:rPr>
          <w:rFonts w:hint="eastAsia" w:ascii="黑体" w:eastAsia="黑体"/>
          <w:highlight w:val="none"/>
          <w:lang w:eastAsia="zh-CN"/>
        </w:rPr>
        <w:t>四</w:t>
      </w:r>
      <w:r>
        <w:rPr>
          <w:rFonts w:hint="eastAsia" w:ascii="黑体" w:eastAsia="黑体"/>
          <w:highlight w:val="none"/>
        </w:rPr>
        <w:t>、一般公共预算当年拨款情况说明</w:t>
      </w:r>
    </w:p>
    <w:p>
      <w:pPr>
        <w:spacing w:line="580" w:lineRule="exact"/>
        <w:ind w:firstLine="643" w:firstLineChars="200"/>
        <w:rPr>
          <w:rFonts w:hint="eastAsia" w:ascii="楷体_GB2312" w:eastAsia="楷体_GB2312"/>
          <w:b/>
          <w:highlight w:val="none"/>
        </w:rPr>
      </w:pPr>
      <w:r>
        <w:rPr>
          <w:rFonts w:hint="eastAsia" w:ascii="楷体_GB2312" w:eastAsia="楷体_GB2312"/>
          <w:b/>
          <w:highlight w:val="none"/>
        </w:rPr>
        <w:t>（一）一般公共预算当年拨款规模变化情况</w:t>
      </w:r>
    </w:p>
    <w:p>
      <w:pPr>
        <w:spacing w:line="580" w:lineRule="exact"/>
        <w:ind w:firstLine="640" w:firstLineChars="200"/>
        <w:rPr>
          <w:rFonts w:hint="default" w:ascii="仿宋_GB2312" w:eastAsia="仿宋_GB2312"/>
          <w:highlight w:val="none"/>
          <w:lang w:val="en-US" w:eastAsia="zh-CN"/>
        </w:rPr>
      </w:pPr>
      <w:r>
        <w:rPr>
          <w:rFonts w:hint="eastAsia"/>
          <w:highlight w:val="none"/>
          <w:lang w:eastAsia="zh-CN"/>
        </w:rPr>
        <w:t>省经社研院</w:t>
      </w:r>
      <w:r>
        <w:rPr>
          <w:rFonts w:hint="eastAsia" w:ascii="仿宋_GB2312"/>
          <w:highlight w:val="none"/>
          <w:lang w:eastAsia="zh-CN"/>
        </w:rPr>
        <w:t>2021年</w:t>
      </w:r>
      <w:r>
        <w:rPr>
          <w:rFonts w:hint="eastAsia" w:ascii="仿宋_GB2312"/>
          <w:highlight w:val="none"/>
        </w:rPr>
        <w:t>一般公共预算当年拨款</w:t>
      </w:r>
      <w:r>
        <w:rPr>
          <w:rFonts w:hint="eastAsia" w:ascii="仿宋_GB2312"/>
          <w:highlight w:val="none"/>
          <w:lang w:val="en-US" w:eastAsia="zh-CN"/>
        </w:rPr>
        <w:t>480.61</w:t>
      </w:r>
      <w:r>
        <w:rPr>
          <w:rFonts w:hint="eastAsia" w:ascii="仿宋_GB2312"/>
          <w:highlight w:val="none"/>
        </w:rPr>
        <w:t>万元，比</w:t>
      </w:r>
      <w:r>
        <w:rPr>
          <w:rFonts w:hint="eastAsia" w:ascii="仿宋_GB2312"/>
          <w:highlight w:val="none"/>
          <w:lang w:eastAsia="zh-CN"/>
        </w:rPr>
        <w:t>2020</w:t>
      </w:r>
      <w:r>
        <w:rPr>
          <w:rFonts w:hint="eastAsia" w:ascii="仿宋_GB2312"/>
          <w:highlight w:val="none"/>
        </w:rPr>
        <w:t>年预算数</w:t>
      </w:r>
      <w:r>
        <w:rPr>
          <w:rFonts w:hint="eastAsia" w:ascii="仿宋_GB2312"/>
          <w:highlight w:val="none"/>
          <w:u w:val="none"/>
        </w:rPr>
        <w:t>增加</w:t>
      </w:r>
      <w:r>
        <w:rPr>
          <w:rFonts w:hint="eastAsia" w:ascii="仿宋_GB2312"/>
          <w:highlight w:val="none"/>
          <w:u w:val="none"/>
          <w:lang w:val="en-US" w:eastAsia="zh-CN"/>
        </w:rPr>
        <w:t>33.21</w:t>
      </w:r>
      <w:r>
        <w:rPr>
          <w:rFonts w:hint="eastAsia" w:ascii="仿宋_GB2312"/>
          <w:highlight w:val="none"/>
        </w:rPr>
        <w:t>万元，主要原因是</w:t>
      </w:r>
      <w:r>
        <w:rPr>
          <w:rFonts w:hint="eastAsia" w:ascii="仿宋_GB2312"/>
          <w:highlight w:val="none"/>
          <w:lang w:val="en-US" w:eastAsia="zh-CN"/>
        </w:rPr>
        <w:t>新增基本科研业务费、新增成都平原经济区区域创新体系建设研究经费</w:t>
      </w:r>
      <w:r>
        <w:rPr>
          <w:rFonts w:hint="eastAsia" w:ascii="仿宋_GB2312"/>
          <w:highlight w:val="none"/>
        </w:rPr>
        <w:t>。</w:t>
      </w:r>
    </w:p>
    <w:p>
      <w:pPr>
        <w:spacing w:line="580" w:lineRule="exact"/>
        <w:ind w:firstLine="643" w:firstLineChars="200"/>
        <w:rPr>
          <w:rFonts w:hint="eastAsia" w:ascii="楷体_GB2312" w:eastAsia="楷体_GB2312"/>
          <w:b/>
          <w:highlight w:val="none"/>
        </w:rPr>
      </w:pPr>
      <w:bookmarkStart w:id="0" w:name="_GoBack"/>
      <w:bookmarkEnd w:id="0"/>
      <w:r>
        <w:rPr>
          <w:rFonts w:hint="eastAsia" w:ascii="楷体_GB2312" w:eastAsia="楷体_GB2312"/>
          <w:b/>
          <w:highlight w:val="none"/>
        </w:rPr>
        <w:t>（二）一般公共预算当年拨款结构情况</w:t>
      </w:r>
    </w:p>
    <w:p>
      <w:pPr>
        <w:spacing w:line="580" w:lineRule="exact"/>
        <w:ind w:firstLine="640" w:firstLineChars="200"/>
        <w:rPr>
          <w:rFonts w:hint="eastAsia" w:ascii="仿宋_GB2312"/>
          <w:highlight w:val="none"/>
        </w:rPr>
      </w:pPr>
      <w:r>
        <w:rPr>
          <w:rFonts w:hint="eastAsia" w:ascii="仿宋_GB2312"/>
          <w:highlight w:val="none"/>
          <w:lang w:val="en-US" w:eastAsia="zh-CN"/>
        </w:rPr>
        <w:t>工资福利支出306.3</w:t>
      </w:r>
      <w:r>
        <w:rPr>
          <w:rFonts w:hint="eastAsia" w:ascii="仿宋_GB2312"/>
          <w:highlight w:val="none"/>
        </w:rPr>
        <w:t>万元，占</w:t>
      </w:r>
      <w:r>
        <w:rPr>
          <w:rFonts w:hint="eastAsia" w:ascii="仿宋_GB2312"/>
          <w:highlight w:val="none"/>
          <w:lang w:val="en-US" w:eastAsia="zh-CN"/>
        </w:rPr>
        <w:t>64</w:t>
      </w:r>
      <w:r>
        <w:rPr>
          <w:rFonts w:hint="eastAsia" w:ascii="仿宋_GB2312"/>
          <w:highlight w:val="none"/>
        </w:rPr>
        <w:t>%；</w:t>
      </w:r>
      <w:r>
        <w:rPr>
          <w:rFonts w:hint="eastAsia" w:ascii="仿宋_GB2312"/>
          <w:highlight w:val="none"/>
          <w:lang w:val="en-US" w:eastAsia="zh-CN"/>
        </w:rPr>
        <w:t>商品和服务支出172.31万元，占35%；资本性支出（基本建设）2万元，占1%</w:t>
      </w:r>
      <w:r>
        <w:rPr>
          <w:rFonts w:hint="eastAsia" w:ascii="仿宋_GB2312"/>
          <w:highlight w:val="none"/>
        </w:rPr>
        <w:t>。</w:t>
      </w:r>
    </w:p>
    <w:p>
      <w:pPr>
        <w:spacing w:line="580" w:lineRule="exact"/>
        <w:ind w:firstLine="643" w:firstLineChars="200"/>
        <w:rPr>
          <w:rFonts w:hint="eastAsia" w:ascii="楷体_GB2312" w:eastAsia="楷体_GB2312"/>
          <w:b/>
          <w:highlight w:val="none"/>
        </w:rPr>
      </w:pPr>
      <w:r>
        <w:rPr>
          <w:rFonts w:hint="eastAsia" w:ascii="楷体_GB2312" w:eastAsia="楷体_GB2312"/>
          <w:b/>
          <w:highlight w:val="none"/>
        </w:rPr>
        <w:t>（三）一般公共预算当年拨款具体使用情况</w:t>
      </w:r>
    </w:p>
    <w:p>
      <w:pPr>
        <w:spacing w:line="580" w:lineRule="exact"/>
        <w:ind w:firstLine="640" w:firstLineChars="200"/>
        <w:rPr>
          <w:rFonts w:hint="eastAsia" w:ascii="仿宋_GB2312"/>
          <w:highlight w:val="none"/>
        </w:rPr>
      </w:pPr>
      <w:r>
        <w:rPr>
          <w:rFonts w:hint="eastAsia" w:ascii="仿宋_GB2312"/>
          <w:highlight w:val="none"/>
        </w:rPr>
        <w:t>1.</w:t>
      </w:r>
      <w:r>
        <w:rPr>
          <w:rFonts w:hint="eastAsia" w:ascii="仿宋_GB2312"/>
          <w:highlight w:val="none"/>
          <w:lang w:val="en-US" w:eastAsia="zh-CN"/>
        </w:rPr>
        <w:t>科学技术支出</w:t>
      </w:r>
      <w:r>
        <w:rPr>
          <w:rFonts w:hint="eastAsia" w:ascii="仿宋_GB2312"/>
          <w:highlight w:val="none"/>
        </w:rPr>
        <w:t>（类）</w:t>
      </w:r>
      <w:r>
        <w:rPr>
          <w:rFonts w:hint="eastAsia" w:ascii="仿宋_GB2312"/>
          <w:highlight w:val="none"/>
          <w:lang w:val="en-US" w:eastAsia="zh-CN"/>
        </w:rPr>
        <w:t>应用研究</w:t>
      </w:r>
      <w:r>
        <w:rPr>
          <w:rFonts w:hint="eastAsia" w:ascii="仿宋_GB2312"/>
          <w:highlight w:val="none"/>
        </w:rPr>
        <w:t>（款）</w:t>
      </w:r>
      <w:r>
        <w:rPr>
          <w:rFonts w:hint="eastAsia" w:ascii="仿宋_GB2312"/>
          <w:highlight w:val="none"/>
          <w:lang w:val="en-US" w:eastAsia="zh-CN"/>
        </w:rPr>
        <w:t>机构</w:t>
      </w:r>
      <w:r>
        <w:rPr>
          <w:rFonts w:hint="eastAsia" w:ascii="仿宋_GB2312"/>
          <w:highlight w:val="none"/>
        </w:rPr>
        <w:t>运行（项）</w:t>
      </w:r>
      <w:r>
        <w:rPr>
          <w:rFonts w:hint="eastAsia" w:ascii="仿宋_GB2312"/>
          <w:highlight w:val="none"/>
          <w:lang w:eastAsia="zh-CN"/>
        </w:rPr>
        <w:t>2021年</w:t>
      </w:r>
      <w:r>
        <w:rPr>
          <w:rFonts w:hint="eastAsia" w:ascii="仿宋_GB2312"/>
          <w:highlight w:val="none"/>
        </w:rPr>
        <w:t>预算数为</w:t>
      </w:r>
      <w:r>
        <w:rPr>
          <w:rFonts w:hint="eastAsia" w:ascii="仿宋_GB2312"/>
          <w:highlight w:val="none"/>
          <w:lang w:val="en-US" w:eastAsia="zh-CN"/>
        </w:rPr>
        <w:t>225.53</w:t>
      </w:r>
      <w:r>
        <w:rPr>
          <w:rFonts w:hint="eastAsia" w:ascii="仿宋_GB2312"/>
          <w:highlight w:val="none"/>
        </w:rPr>
        <w:t>万元，主要用于：</w:t>
      </w:r>
      <w:r>
        <w:rPr>
          <w:rFonts w:hint="eastAsia" w:ascii="仿宋_GB2312"/>
          <w:highlight w:val="none"/>
          <w:lang w:val="en-US" w:eastAsia="zh-CN"/>
        </w:rPr>
        <w:t>工资福利支出、商品和服务支出</w:t>
      </w:r>
      <w:r>
        <w:rPr>
          <w:rFonts w:hint="eastAsia" w:ascii="仿宋_GB2312"/>
          <w:highlight w:val="none"/>
        </w:rPr>
        <w:t>。</w:t>
      </w:r>
    </w:p>
    <w:p>
      <w:pPr>
        <w:spacing w:line="580" w:lineRule="exact"/>
        <w:ind w:firstLine="640" w:firstLineChars="200"/>
        <w:rPr>
          <w:rFonts w:hint="eastAsia" w:ascii="仿宋_GB2312"/>
          <w:highlight w:val="none"/>
        </w:rPr>
      </w:pPr>
      <w:r>
        <w:rPr>
          <w:rFonts w:hint="eastAsia" w:ascii="仿宋_GB2312"/>
          <w:highlight w:val="none"/>
        </w:rPr>
        <w:t>2.</w:t>
      </w:r>
      <w:r>
        <w:rPr>
          <w:rFonts w:hint="eastAsia" w:ascii="仿宋_GB2312"/>
          <w:highlight w:val="none"/>
          <w:lang w:val="en-US" w:eastAsia="zh-CN"/>
        </w:rPr>
        <w:t>科学技术支出</w:t>
      </w:r>
      <w:r>
        <w:rPr>
          <w:rFonts w:hint="eastAsia" w:ascii="仿宋_GB2312"/>
          <w:highlight w:val="none"/>
        </w:rPr>
        <w:t>（类）</w:t>
      </w:r>
      <w:r>
        <w:rPr>
          <w:rFonts w:hint="eastAsia" w:ascii="仿宋_GB2312"/>
          <w:highlight w:val="none"/>
          <w:lang w:val="en-US" w:eastAsia="zh-CN"/>
        </w:rPr>
        <w:t>应用研究</w:t>
      </w:r>
      <w:r>
        <w:rPr>
          <w:rFonts w:hint="eastAsia" w:ascii="仿宋_GB2312"/>
          <w:highlight w:val="none"/>
        </w:rPr>
        <w:t>（款）</w:t>
      </w:r>
      <w:r>
        <w:rPr>
          <w:rFonts w:hint="eastAsia" w:ascii="仿宋_GB2312"/>
          <w:highlight w:val="none"/>
          <w:lang w:val="en-US" w:eastAsia="zh-CN"/>
        </w:rPr>
        <w:t>社会公益研究（项）</w:t>
      </w:r>
      <w:r>
        <w:rPr>
          <w:rFonts w:hint="eastAsia" w:ascii="仿宋_GB2312"/>
          <w:highlight w:val="none"/>
          <w:lang w:eastAsia="zh-CN"/>
        </w:rPr>
        <w:t>2021年</w:t>
      </w:r>
      <w:r>
        <w:rPr>
          <w:rFonts w:hint="eastAsia" w:ascii="仿宋_GB2312"/>
          <w:highlight w:val="none"/>
        </w:rPr>
        <w:t>预算数为</w:t>
      </w:r>
      <w:r>
        <w:rPr>
          <w:rFonts w:hint="eastAsia" w:ascii="仿宋_GB2312"/>
          <w:highlight w:val="none"/>
          <w:lang w:val="en-US" w:eastAsia="zh-CN"/>
        </w:rPr>
        <w:t>146.88</w:t>
      </w:r>
      <w:r>
        <w:rPr>
          <w:rFonts w:hint="eastAsia" w:ascii="仿宋_GB2312"/>
          <w:highlight w:val="none"/>
        </w:rPr>
        <w:t>万元，主要用于：</w:t>
      </w:r>
      <w:r>
        <w:rPr>
          <w:rFonts w:hint="eastAsia" w:ascii="仿宋_GB2312"/>
          <w:highlight w:val="none"/>
          <w:lang w:val="en-US" w:eastAsia="zh-CN"/>
        </w:rPr>
        <w:t>科研课题项目研究支出、科研管理系统建设</w:t>
      </w:r>
      <w:r>
        <w:rPr>
          <w:rFonts w:hint="eastAsia" w:ascii="仿宋_GB2312"/>
          <w:highlight w:val="none"/>
        </w:rPr>
        <w:t>。</w:t>
      </w:r>
    </w:p>
    <w:p>
      <w:pPr>
        <w:spacing w:line="580" w:lineRule="exact"/>
        <w:ind w:firstLine="640" w:firstLineChars="200"/>
        <w:rPr>
          <w:rFonts w:hint="eastAsia" w:ascii="仿宋_GB2312"/>
          <w:highlight w:val="none"/>
        </w:rPr>
      </w:pPr>
      <w:r>
        <w:rPr>
          <w:rFonts w:hint="eastAsia" w:ascii="仿宋_GB2312"/>
          <w:highlight w:val="none"/>
        </w:rPr>
        <w:t>3.</w:t>
      </w:r>
      <w:r>
        <w:rPr>
          <w:rFonts w:hint="eastAsia" w:ascii="仿宋_GB2312"/>
          <w:highlight w:val="none"/>
          <w:lang w:val="en-US" w:eastAsia="zh-CN"/>
        </w:rPr>
        <w:t>社会保障和就业支出</w:t>
      </w:r>
      <w:r>
        <w:rPr>
          <w:rFonts w:hint="eastAsia" w:ascii="仿宋_GB2312"/>
          <w:highlight w:val="none"/>
        </w:rPr>
        <w:t>（类）</w:t>
      </w:r>
      <w:r>
        <w:rPr>
          <w:rFonts w:hint="eastAsia" w:ascii="仿宋_GB2312"/>
          <w:highlight w:val="none"/>
          <w:lang w:val="en-US" w:eastAsia="zh-CN"/>
        </w:rPr>
        <w:t>行政事业单位养老支出</w:t>
      </w:r>
      <w:r>
        <w:rPr>
          <w:rFonts w:hint="eastAsia" w:ascii="仿宋_GB2312"/>
          <w:highlight w:val="none"/>
        </w:rPr>
        <w:t>（款）机关</w:t>
      </w:r>
      <w:r>
        <w:rPr>
          <w:rFonts w:hint="eastAsia" w:ascii="仿宋_GB2312"/>
          <w:highlight w:val="none"/>
          <w:lang w:val="en-US" w:eastAsia="zh-CN"/>
        </w:rPr>
        <w:t>事业单位基本养老保险缴费支出</w:t>
      </w:r>
      <w:r>
        <w:rPr>
          <w:rFonts w:hint="eastAsia" w:ascii="仿宋_GB2312"/>
          <w:highlight w:val="none"/>
        </w:rPr>
        <w:t>（项）</w:t>
      </w:r>
      <w:r>
        <w:rPr>
          <w:rFonts w:hint="eastAsia" w:ascii="仿宋_GB2312"/>
          <w:highlight w:val="none"/>
          <w:lang w:eastAsia="zh-CN"/>
        </w:rPr>
        <w:t>2021年</w:t>
      </w:r>
      <w:r>
        <w:rPr>
          <w:rFonts w:hint="eastAsia" w:ascii="仿宋_GB2312"/>
          <w:highlight w:val="none"/>
        </w:rPr>
        <w:t>预算数为</w:t>
      </w:r>
      <w:r>
        <w:rPr>
          <w:rFonts w:hint="eastAsia" w:ascii="仿宋_GB2312"/>
          <w:highlight w:val="none"/>
          <w:lang w:val="en-US" w:eastAsia="zh-CN"/>
        </w:rPr>
        <w:t>30.99</w:t>
      </w:r>
      <w:r>
        <w:rPr>
          <w:rFonts w:hint="eastAsia" w:ascii="仿宋_GB2312"/>
          <w:highlight w:val="none"/>
        </w:rPr>
        <w:t>万元，主要用于：</w:t>
      </w:r>
      <w:r>
        <w:rPr>
          <w:rFonts w:hint="eastAsia" w:ascii="仿宋_GB2312"/>
          <w:highlight w:val="none"/>
          <w:lang w:val="en-US" w:eastAsia="zh-CN"/>
        </w:rPr>
        <w:t>基本养老保险缴费支出</w:t>
      </w:r>
      <w:r>
        <w:rPr>
          <w:rFonts w:hint="eastAsia" w:ascii="仿宋_GB2312"/>
          <w:highlight w:val="none"/>
        </w:rPr>
        <w:t>。</w:t>
      </w:r>
    </w:p>
    <w:p>
      <w:pPr>
        <w:spacing w:line="580" w:lineRule="exact"/>
        <w:ind w:firstLine="640" w:firstLineChars="200"/>
        <w:rPr>
          <w:rFonts w:hint="eastAsia" w:ascii="仿宋_GB2312"/>
          <w:highlight w:val="none"/>
          <w:lang w:val="en-US" w:eastAsia="zh-CN"/>
        </w:rPr>
      </w:pPr>
      <w:r>
        <w:rPr>
          <w:rFonts w:hint="eastAsia" w:ascii="仿宋_GB2312"/>
          <w:highlight w:val="none"/>
          <w:u w:val="none"/>
          <w:lang w:val="en-US" w:eastAsia="zh-CN"/>
        </w:rPr>
        <w:t>4.</w:t>
      </w:r>
      <w:r>
        <w:rPr>
          <w:rFonts w:hint="eastAsia" w:ascii="仿宋_GB2312"/>
          <w:highlight w:val="none"/>
          <w:lang w:val="en-US" w:eastAsia="zh-CN"/>
        </w:rPr>
        <w:t>社会保障和就业支出</w:t>
      </w:r>
      <w:r>
        <w:rPr>
          <w:rFonts w:hint="eastAsia" w:ascii="仿宋_GB2312"/>
          <w:highlight w:val="none"/>
        </w:rPr>
        <w:t>（类）</w:t>
      </w:r>
      <w:r>
        <w:rPr>
          <w:rFonts w:hint="eastAsia" w:ascii="仿宋_GB2312"/>
          <w:highlight w:val="none"/>
          <w:lang w:val="en-US" w:eastAsia="zh-CN"/>
        </w:rPr>
        <w:t>行政事业单位养老支出</w:t>
      </w:r>
      <w:r>
        <w:rPr>
          <w:rFonts w:hint="eastAsia" w:ascii="仿宋_GB2312"/>
          <w:highlight w:val="none"/>
        </w:rPr>
        <w:t>（款）</w:t>
      </w:r>
      <w:r>
        <w:rPr>
          <w:rFonts w:hint="eastAsia" w:ascii="仿宋_GB2312"/>
          <w:highlight w:val="none"/>
          <w:lang w:val="en-US" w:eastAsia="zh-CN"/>
        </w:rPr>
        <w:t>机关事业单位职业年金缴费支出（项）2021年预算数为15.49万元，主要用于：职业年金缴费支出。</w:t>
      </w:r>
    </w:p>
    <w:p>
      <w:pPr>
        <w:spacing w:line="580" w:lineRule="exact"/>
        <w:ind w:firstLine="640" w:firstLineChars="200"/>
        <w:rPr>
          <w:rFonts w:hint="eastAsia" w:ascii="仿宋_GB2312"/>
          <w:highlight w:val="none"/>
          <w:lang w:val="en-US" w:eastAsia="zh-CN"/>
        </w:rPr>
      </w:pPr>
      <w:r>
        <w:rPr>
          <w:rFonts w:hint="eastAsia" w:ascii="仿宋_GB2312"/>
          <w:highlight w:val="none"/>
          <w:lang w:val="en-US" w:eastAsia="zh-CN"/>
        </w:rPr>
        <w:t>5.卫生健康支出（类）行政事业单位医疗（款）事业单位医疗（项）2021年预算数为18.21万元，主要用于：医疗缴费支出。</w:t>
      </w:r>
    </w:p>
    <w:p>
      <w:pPr>
        <w:spacing w:line="580" w:lineRule="exact"/>
        <w:ind w:firstLine="640" w:firstLineChars="200"/>
        <w:rPr>
          <w:rFonts w:hint="eastAsia" w:ascii="仿宋_GB2312"/>
          <w:highlight w:val="none"/>
          <w:lang w:val="en-US" w:eastAsia="zh-CN"/>
        </w:rPr>
      </w:pPr>
      <w:r>
        <w:rPr>
          <w:rFonts w:hint="eastAsia" w:ascii="仿宋_GB2312"/>
          <w:highlight w:val="none"/>
          <w:lang w:val="en-US" w:eastAsia="zh-CN"/>
        </w:rPr>
        <w:t>6.住房保障支出（类）住房改革支出（款）住房公积金（项）2021年预算数为23.24万元，主要用于：住房公积金缴费支出。</w:t>
      </w:r>
    </w:p>
    <w:p>
      <w:pPr>
        <w:spacing w:line="580" w:lineRule="exact"/>
        <w:ind w:firstLine="640" w:firstLineChars="200"/>
        <w:rPr>
          <w:rFonts w:hint="default" w:ascii="仿宋_GB2312"/>
          <w:highlight w:val="none"/>
          <w:lang w:val="en-US" w:eastAsia="zh-CN"/>
        </w:rPr>
      </w:pPr>
      <w:r>
        <w:rPr>
          <w:rFonts w:hint="eastAsia" w:ascii="仿宋_GB2312"/>
          <w:highlight w:val="none"/>
          <w:lang w:val="en-US" w:eastAsia="zh-CN"/>
        </w:rPr>
        <w:t>7.住房保障支出（类）住房改革支出（款）购房补贴（项）2021年预算数为20.27万元，主要用于：购房补贴支出。</w:t>
      </w:r>
    </w:p>
    <w:p>
      <w:pPr>
        <w:spacing w:line="580" w:lineRule="exact"/>
        <w:ind w:firstLine="640" w:firstLineChars="200"/>
        <w:rPr>
          <w:rFonts w:hint="eastAsia" w:ascii="黑体" w:eastAsia="黑体"/>
          <w:highlight w:val="none"/>
        </w:rPr>
      </w:pPr>
      <w:r>
        <w:rPr>
          <w:rFonts w:hint="eastAsia" w:ascii="黑体" w:eastAsia="黑体"/>
          <w:highlight w:val="none"/>
          <w:lang w:eastAsia="zh-CN"/>
        </w:rPr>
        <w:t>五</w:t>
      </w:r>
      <w:r>
        <w:rPr>
          <w:rFonts w:hint="eastAsia" w:ascii="黑体" w:eastAsia="黑体"/>
          <w:highlight w:val="none"/>
        </w:rPr>
        <w:t>、一般公共预算基本支出情况说明</w:t>
      </w:r>
    </w:p>
    <w:p>
      <w:pPr>
        <w:spacing w:line="580" w:lineRule="exact"/>
        <w:ind w:firstLine="640" w:firstLineChars="200"/>
        <w:rPr>
          <w:rFonts w:hint="eastAsia" w:ascii="仿宋_GB2312"/>
          <w:highlight w:val="none"/>
        </w:rPr>
      </w:pPr>
      <w:r>
        <w:rPr>
          <w:rFonts w:hint="eastAsia"/>
          <w:highlight w:val="none"/>
          <w:lang w:eastAsia="zh-CN"/>
        </w:rPr>
        <w:t>省经社研院</w:t>
      </w:r>
      <w:r>
        <w:rPr>
          <w:rFonts w:hint="eastAsia" w:ascii="仿宋_GB2312"/>
          <w:highlight w:val="none"/>
          <w:lang w:eastAsia="zh-CN"/>
        </w:rPr>
        <w:t>2021年</w:t>
      </w:r>
      <w:r>
        <w:rPr>
          <w:rFonts w:hint="eastAsia" w:ascii="仿宋_GB2312"/>
          <w:highlight w:val="none"/>
        </w:rPr>
        <w:t>一般公共预算基本支出</w:t>
      </w:r>
      <w:r>
        <w:rPr>
          <w:rFonts w:hint="eastAsia" w:ascii="仿宋_GB2312"/>
          <w:highlight w:val="none"/>
          <w:lang w:val="en-US" w:eastAsia="zh-CN"/>
        </w:rPr>
        <w:t>355.23</w:t>
      </w:r>
      <w:r>
        <w:rPr>
          <w:rFonts w:hint="eastAsia" w:ascii="仿宋_GB2312"/>
          <w:highlight w:val="none"/>
        </w:rPr>
        <w:t>万元，其中：</w:t>
      </w:r>
    </w:p>
    <w:p>
      <w:pPr>
        <w:spacing w:line="580" w:lineRule="exact"/>
        <w:ind w:firstLine="640" w:firstLineChars="200"/>
        <w:rPr>
          <w:rFonts w:hint="default" w:ascii="仿宋_GB2312" w:eastAsia="仿宋_GB2312"/>
          <w:highlight w:val="none"/>
          <w:u w:val="single"/>
          <w:lang w:val="en-US" w:eastAsia="zh-CN"/>
        </w:rPr>
      </w:pPr>
      <w:r>
        <w:rPr>
          <w:rFonts w:hint="eastAsia" w:ascii="仿宋_GB2312"/>
          <w:highlight w:val="none"/>
        </w:rPr>
        <w:t>人员经费</w:t>
      </w:r>
      <w:r>
        <w:rPr>
          <w:rFonts w:hint="eastAsia" w:ascii="仿宋_GB2312"/>
          <w:highlight w:val="none"/>
          <w:lang w:val="en-US" w:eastAsia="zh-CN"/>
        </w:rPr>
        <w:t>306.3</w:t>
      </w:r>
      <w:r>
        <w:rPr>
          <w:rFonts w:hint="eastAsia" w:ascii="仿宋_GB2312"/>
          <w:highlight w:val="none"/>
        </w:rPr>
        <w:t>万元，主要包括：基本工资、津贴补贴、</w:t>
      </w:r>
      <w:r>
        <w:rPr>
          <w:rFonts w:hint="eastAsia" w:ascii="仿宋_GB2312"/>
          <w:highlight w:val="none"/>
          <w:lang w:val="en-US" w:eastAsia="zh-CN"/>
        </w:rPr>
        <w:t>绩效工资</w:t>
      </w:r>
      <w:r>
        <w:rPr>
          <w:rFonts w:hint="eastAsia" w:ascii="仿宋_GB2312"/>
          <w:highlight w:val="none"/>
        </w:rPr>
        <w:t>、</w:t>
      </w:r>
      <w:r>
        <w:rPr>
          <w:rFonts w:hint="eastAsia" w:ascii="仿宋_GB2312"/>
          <w:highlight w:val="none"/>
          <w:lang w:val="en-US" w:eastAsia="zh-CN"/>
        </w:rPr>
        <w:t>基本养老保险、职业年金、基本医疗保险、住房公积金、其他社会保障缴费。</w:t>
      </w:r>
      <w:r>
        <w:rPr>
          <w:rFonts w:hint="eastAsia" w:ascii="仿宋_GB2312"/>
          <w:highlight w:val="none"/>
          <w:lang w:val="en-US" w:eastAsia="zh-CN"/>
        </w:rPr>
        <w:tab/>
      </w:r>
    </w:p>
    <w:p>
      <w:pPr>
        <w:spacing w:line="580" w:lineRule="exact"/>
        <w:ind w:firstLine="640" w:firstLineChars="200"/>
        <w:rPr>
          <w:rFonts w:hint="default" w:ascii="仿宋_GB2312" w:eastAsia="仿宋_GB2312"/>
          <w:highlight w:val="none"/>
          <w:u w:val="single"/>
          <w:lang w:val="en-US" w:eastAsia="zh-CN"/>
        </w:rPr>
      </w:pPr>
      <w:r>
        <w:rPr>
          <w:rFonts w:hint="eastAsia" w:ascii="仿宋_GB2312"/>
          <w:highlight w:val="none"/>
        </w:rPr>
        <w:t>公用经费</w:t>
      </w:r>
      <w:r>
        <w:rPr>
          <w:rFonts w:hint="eastAsia" w:ascii="仿宋_GB2312"/>
          <w:highlight w:val="none"/>
          <w:lang w:val="en-US" w:eastAsia="zh-CN"/>
        </w:rPr>
        <w:t>48.93</w:t>
      </w:r>
      <w:r>
        <w:rPr>
          <w:rFonts w:hint="eastAsia" w:ascii="仿宋_GB2312"/>
          <w:highlight w:val="none"/>
        </w:rPr>
        <w:t>万元，主要包括：办公费、印刷费、咨询费、</w:t>
      </w:r>
      <w:r>
        <w:rPr>
          <w:rFonts w:hint="eastAsia" w:ascii="仿宋_GB2312"/>
          <w:highlight w:val="none"/>
          <w:lang w:val="en-US" w:eastAsia="zh-CN"/>
        </w:rPr>
        <w:t>邮电费、物业管理费、差旅费、维修费、劳务费、委托业务费、工会经费、公务用车运行维护费。</w:t>
      </w:r>
    </w:p>
    <w:p>
      <w:pPr>
        <w:spacing w:line="580" w:lineRule="exact"/>
        <w:ind w:firstLine="640" w:firstLineChars="200"/>
        <w:rPr>
          <w:rFonts w:hint="eastAsia" w:ascii="黑体" w:eastAsia="黑体"/>
          <w:highlight w:val="none"/>
        </w:rPr>
      </w:pPr>
      <w:r>
        <w:rPr>
          <w:rFonts w:hint="eastAsia" w:ascii="黑体" w:eastAsia="黑体"/>
          <w:highlight w:val="none"/>
          <w:lang w:eastAsia="zh-CN"/>
        </w:rPr>
        <w:t>六</w:t>
      </w:r>
      <w:r>
        <w:rPr>
          <w:rFonts w:hint="eastAsia" w:ascii="黑体" w:eastAsia="黑体"/>
          <w:highlight w:val="none"/>
        </w:rPr>
        <w:t>、“三公”经费财政拨款预算安排情况说明</w:t>
      </w:r>
    </w:p>
    <w:p>
      <w:pPr>
        <w:spacing w:line="580" w:lineRule="exact"/>
        <w:ind w:firstLine="640" w:firstLineChars="200"/>
        <w:rPr>
          <w:rFonts w:hint="eastAsia" w:ascii="仿宋_GB2312"/>
          <w:highlight w:val="none"/>
        </w:rPr>
      </w:pPr>
      <w:r>
        <w:rPr>
          <w:rFonts w:hint="eastAsia"/>
          <w:highlight w:val="none"/>
          <w:lang w:eastAsia="zh-CN"/>
        </w:rPr>
        <w:t>省经社研院</w:t>
      </w:r>
      <w:r>
        <w:rPr>
          <w:rFonts w:hint="eastAsia" w:ascii="仿宋_GB2312"/>
          <w:highlight w:val="none"/>
          <w:lang w:eastAsia="zh-CN"/>
        </w:rPr>
        <w:t>2021年</w:t>
      </w:r>
      <w:r>
        <w:rPr>
          <w:rFonts w:hint="eastAsia" w:ascii="仿宋_GB2312"/>
          <w:highlight w:val="none"/>
        </w:rPr>
        <w:t>“三公”经费财政拨款预算数</w:t>
      </w:r>
      <w:r>
        <w:rPr>
          <w:rFonts w:hint="eastAsia" w:ascii="仿宋_GB2312"/>
          <w:highlight w:val="none"/>
          <w:lang w:val="en-US" w:eastAsia="zh-CN"/>
        </w:rPr>
        <w:t>4.5</w:t>
      </w:r>
      <w:r>
        <w:rPr>
          <w:rFonts w:hint="eastAsia" w:ascii="仿宋_GB2312"/>
          <w:highlight w:val="none"/>
        </w:rPr>
        <w:t>万元，其中：公务接待费</w:t>
      </w:r>
      <w:r>
        <w:rPr>
          <w:rFonts w:hint="eastAsia" w:ascii="仿宋_GB2312"/>
          <w:highlight w:val="none"/>
          <w:lang w:val="en-US" w:eastAsia="zh-CN"/>
        </w:rPr>
        <w:t>0</w:t>
      </w:r>
      <w:r>
        <w:rPr>
          <w:rFonts w:hint="eastAsia" w:ascii="仿宋_GB2312"/>
          <w:highlight w:val="none"/>
        </w:rPr>
        <w:t>万元，公务用车购置及运行维护费</w:t>
      </w:r>
      <w:r>
        <w:rPr>
          <w:rFonts w:hint="eastAsia" w:ascii="仿宋_GB2312"/>
          <w:highlight w:val="none"/>
          <w:lang w:val="en-US" w:eastAsia="zh-CN"/>
        </w:rPr>
        <w:t>4.5</w:t>
      </w:r>
      <w:r>
        <w:rPr>
          <w:rFonts w:hint="eastAsia" w:ascii="仿宋_GB2312"/>
          <w:highlight w:val="none"/>
        </w:rPr>
        <w:t>万元</w:t>
      </w:r>
      <w:r>
        <w:rPr>
          <w:rFonts w:hint="eastAsia" w:ascii="仿宋_GB2312"/>
          <w:highlight w:val="none"/>
          <w:lang w:eastAsia="zh-CN"/>
        </w:rPr>
        <w:t>。受新冠肺炎疫情影响，</w:t>
      </w:r>
      <w:r>
        <w:rPr>
          <w:rFonts w:hint="eastAsia" w:ascii="仿宋_GB2312"/>
          <w:highlight w:val="none"/>
          <w:lang w:val="en-US" w:eastAsia="zh-CN"/>
        </w:rPr>
        <w:t>2021年省级年初单位预算暂不编列</w:t>
      </w:r>
      <w:r>
        <w:rPr>
          <w:rFonts w:hint="eastAsia" w:ascii="仿宋_GB2312"/>
          <w:highlight w:val="none"/>
          <w:lang w:eastAsia="zh-CN"/>
        </w:rPr>
        <w:t>因公出国（境）经费，执行中确需安排出国（境）任务和计划的，按照“一事一议”的方式报省政府批准后安排经费</w:t>
      </w:r>
      <w:r>
        <w:rPr>
          <w:rFonts w:hint="eastAsia" w:ascii="仿宋_GB2312"/>
          <w:highlight w:val="none"/>
        </w:rPr>
        <w:t>。</w:t>
      </w:r>
    </w:p>
    <w:p>
      <w:pPr>
        <w:spacing w:line="580" w:lineRule="exact"/>
        <w:ind w:firstLine="640"/>
        <w:rPr>
          <w:rFonts w:hint="eastAsia" w:ascii="仿宋_GB2312" w:eastAsia="楷体_GB2312"/>
          <w:highlight w:val="none"/>
          <w:u w:val="none"/>
          <w:lang w:val="en-US" w:eastAsia="zh-CN"/>
        </w:rPr>
      </w:pPr>
      <w:r>
        <w:rPr>
          <w:rFonts w:hint="eastAsia" w:ascii="楷体_GB2312" w:eastAsia="楷体_GB2312"/>
          <w:b/>
          <w:highlight w:val="none"/>
        </w:rPr>
        <w:t>（一）公务接待费较</w:t>
      </w:r>
      <w:r>
        <w:rPr>
          <w:rFonts w:hint="eastAsia" w:ascii="楷体_GB2312" w:eastAsia="楷体_GB2312"/>
          <w:b/>
          <w:highlight w:val="none"/>
          <w:lang w:eastAsia="zh-CN"/>
        </w:rPr>
        <w:t>2020</w:t>
      </w:r>
      <w:r>
        <w:rPr>
          <w:rFonts w:hint="eastAsia" w:ascii="楷体_GB2312" w:eastAsia="楷体_GB2312"/>
          <w:b/>
          <w:highlight w:val="none"/>
        </w:rPr>
        <w:t>年预算</w:t>
      </w:r>
      <w:r>
        <w:rPr>
          <w:rFonts w:hint="eastAsia" w:ascii="楷体_GB2312" w:eastAsia="楷体_GB2312"/>
          <w:b/>
          <w:highlight w:val="none"/>
          <w:u w:val="none"/>
          <w:lang w:val="en-US" w:eastAsia="zh-CN"/>
        </w:rPr>
        <w:t>无变化</w:t>
      </w:r>
    </w:p>
    <w:p>
      <w:pPr>
        <w:spacing w:line="580" w:lineRule="exact"/>
        <w:ind w:firstLine="640"/>
        <w:rPr>
          <w:rFonts w:hint="default" w:ascii="黑体" w:eastAsia="仿宋_GB2312"/>
          <w:b/>
          <w:highlight w:val="none"/>
          <w:lang w:val="en-US" w:eastAsia="zh-CN"/>
        </w:rPr>
      </w:pPr>
      <w:r>
        <w:rPr>
          <w:rFonts w:hint="eastAsia" w:ascii="楷体_GB2312" w:eastAsia="楷体_GB2312"/>
          <w:b/>
          <w:highlight w:val="none"/>
        </w:rPr>
        <w:t>（</w:t>
      </w:r>
      <w:r>
        <w:rPr>
          <w:rFonts w:hint="eastAsia" w:ascii="楷体_GB2312" w:eastAsia="楷体_GB2312"/>
          <w:b/>
          <w:highlight w:val="none"/>
          <w:lang w:eastAsia="zh-CN"/>
        </w:rPr>
        <w:t>二</w:t>
      </w:r>
      <w:r>
        <w:rPr>
          <w:rFonts w:hint="eastAsia" w:ascii="楷体_GB2312" w:eastAsia="楷体_GB2312"/>
          <w:b/>
          <w:highlight w:val="none"/>
        </w:rPr>
        <w:t>）公务用车购置及运行维护费较</w:t>
      </w:r>
      <w:r>
        <w:rPr>
          <w:rFonts w:hint="eastAsia" w:ascii="楷体_GB2312" w:eastAsia="楷体_GB2312"/>
          <w:b/>
          <w:highlight w:val="none"/>
          <w:lang w:eastAsia="zh-CN"/>
        </w:rPr>
        <w:t>2020</w:t>
      </w:r>
      <w:r>
        <w:rPr>
          <w:rFonts w:hint="eastAsia" w:ascii="楷体_GB2312" w:eastAsia="楷体_GB2312"/>
          <w:b/>
          <w:highlight w:val="none"/>
        </w:rPr>
        <w:t>年预算</w:t>
      </w:r>
      <w:r>
        <w:rPr>
          <w:rFonts w:hint="eastAsia" w:ascii="楷体_GB2312" w:eastAsia="楷体_GB2312"/>
          <w:b/>
          <w:bCs w:val="0"/>
          <w:highlight w:val="none"/>
          <w:u w:val="none"/>
        </w:rPr>
        <w:t>下降</w:t>
      </w:r>
      <w:r>
        <w:rPr>
          <w:rFonts w:hint="eastAsia" w:ascii="楷体_GB2312" w:eastAsia="楷体_GB2312"/>
          <w:b/>
          <w:bCs w:val="0"/>
          <w:highlight w:val="none"/>
          <w:u w:val="none"/>
          <w:lang w:val="en-US" w:eastAsia="zh-CN"/>
        </w:rPr>
        <w:t>7</w:t>
      </w:r>
      <w:r>
        <w:rPr>
          <w:rFonts w:ascii="楷体_GB2312" w:eastAsia="楷体_GB2312"/>
          <w:b/>
          <w:bCs w:val="0"/>
          <w:highlight w:val="none"/>
          <w:u w:val="none"/>
        </w:rPr>
        <w:t>%</w:t>
      </w:r>
      <w:r>
        <w:rPr>
          <w:rFonts w:hint="eastAsia" w:ascii="楷体_GB2312" w:eastAsia="楷体_GB2312"/>
          <w:b/>
          <w:highlight w:val="none"/>
        </w:rPr>
        <w:t>。</w:t>
      </w:r>
      <w:r>
        <w:rPr>
          <w:rFonts w:hint="eastAsia" w:ascii="仿宋_GB2312"/>
          <w:highlight w:val="none"/>
        </w:rPr>
        <w:t>主要原因是</w:t>
      </w:r>
      <w:r>
        <w:rPr>
          <w:rFonts w:hint="eastAsia" w:ascii="仿宋_GB2312"/>
          <w:highlight w:val="none"/>
          <w:lang w:val="en-US" w:eastAsia="zh-CN"/>
        </w:rPr>
        <w:t>节约使用资金，减少公车运行维护费开支。</w:t>
      </w:r>
    </w:p>
    <w:p>
      <w:pPr>
        <w:spacing w:line="580" w:lineRule="exact"/>
        <w:ind w:firstLine="640"/>
        <w:rPr>
          <w:rFonts w:hint="eastAsia" w:ascii="仿宋_GB2312"/>
          <w:highlight w:val="none"/>
        </w:rPr>
      </w:pPr>
      <w:r>
        <w:rPr>
          <w:rFonts w:hint="eastAsia" w:ascii="仿宋_GB2312"/>
          <w:highlight w:val="none"/>
        </w:rPr>
        <w:t>单位现有公务用车</w:t>
      </w:r>
      <w:r>
        <w:rPr>
          <w:rFonts w:hint="eastAsia" w:ascii="仿宋_GB2312"/>
          <w:highlight w:val="none"/>
          <w:lang w:val="en-US" w:eastAsia="zh-CN"/>
        </w:rPr>
        <w:t>2</w:t>
      </w:r>
      <w:r>
        <w:rPr>
          <w:rFonts w:hint="eastAsia" w:ascii="仿宋_GB2312"/>
          <w:highlight w:val="none"/>
        </w:rPr>
        <w:t>辆，其中：轿车</w:t>
      </w:r>
      <w:r>
        <w:rPr>
          <w:rFonts w:hint="eastAsia" w:ascii="仿宋_GB2312"/>
          <w:highlight w:val="none"/>
          <w:lang w:val="en-US" w:eastAsia="zh-CN"/>
        </w:rPr>
        <w:t>1</w:t>
      </w:r>
      <w:r>
        <w:rPr>
          <w:rFonts w:hint="eastAsia" w:ascii="仿宋_GB2312"/>
          <w:highlight w:val="none"/>
        </w:rPr>
        <w:t>辆，越野车</w:t>
      </w:r>
      <w:r>
        <w:rPr>
          <w:rFonts w:hint="eastAsia" w:ascii="仿宋_GB2312"/>
          <w:highlight w:val="none"/>
          <w:lang w:val="en-US" w:eastAsia="zh-CN"/>
        </w:rPr>
        <w:t>1</w:t>
      </w:r>
      <w:r>
        <w:rPr>
          <w:rFonts w:hint="eastAsia" w:ascii="仿宋_GB2312"/>
          <w:highlight w:val="none"/>
        </w:rPr>
        <w:t>辆。</w:t>
      </w:r>
    </w:p>
    <w:p>
      <w:pPr>
        <w:spacing w:line="580" w:lineRule="exact"/>
        <w:ind w:firstLine="640"/>
        <w:rPr>
          <w:rFonts w:hint="eastAsia" w:ascii="仿宋_GB2312" w:eastAsia="仿宋_GB2312"/>
          <w:highlight w:val="none"/>
          <w:lang w:eastAsia="zh-CN"/>
        </w:rPr>
      </w:pPr>
      <w:r>
        <w:rPr>
          <w:rFonts w:hint="eastAsia" w:ascii="仿宋_GB2312"/>
          <w:highlight w:val="none"/>
          <w:lang w:eastAsia="zh-CN"/>
        </w:rPr>
        <w:t>2021年</w:t>
      </w:r>
      <w:r>
        <w:rPr>
          <w:rFonts w:hint="eastAsia" w:ascii="仿宋_GB2312"/>
          <w:highlight w:val="none"/>
        </w:rPr>
        <w:t>安排公务用车购置费</w:t>
      </w:r>
      <w:r>
        <w:rPr>
          <w:rFonts w:hint="eastAsia" w:ascii="仿宋_GB2312"/>
          <w:highlight w:val="none"/>
          <w:lang w:val="en-US" w:eastAsia="zh-CN"/>
        </w:rPr>
        <w:t>0</w:t>
      </w:r>
      <w:r>
        <w:rPr>
          <w:rFonts w:hint="eastAsia" w:ascii="仿宋_GB2312"/>
          <w:highlight w:val="none"/>
        </w:rPr>
        <w:t>万元</w:t>
      </w:r>
      <w:r>
        <w:rPr>
          <w:rFonts w:hint="eastAsia" w:ascii="仿宋_GB2312"/>
          <w:highlight w:val="none"/>
          <w:lang w:eastAsia="zh-CN"/>
        </w:rPr>
        <w:t>。</w:t>
      </w:r>
    </w:p>
    <w:p>
      <w:pPr>
        <w:spacing w:line="580" w:lineRule="exact"/>
        <w:ind w:firstLine="640"/>
        <w:rPr>
          <w:rFonts w:hint="eastAsia" w:ascii="仿宋_GB2312"/>
          <w:highlight w:val="none"/>
        </w:rPr>
      </w:pPr>
      <w:r>
        <w:rPr>
          <w:rFonts w:hint="eastAsia" w:ascii="仿宋_GB2312"/>
          <w:highlight w:val="none"/>
          <w:lang w:eastAsia="zh-CN"/>
        </w:rPr>
        <w:t>2021年</w:t>
      </w:r>
      <w:r>
        <w:rPr>
          <w:rFonts w:hint="eastAsia" w:ascii="仿宋_GB2312"/>
          <w:highlight w:val="none"/>
        </w:rPr>
        <w:t>安排公务用车运行维护费</w:t>
      </w:r>
      <w:r>
        <w:rPr>
          <w:rFonts w:hint="eastAsia" w:ascii="仿宋_GB2312"/>
          <w:highlight w:val="none"/>
          <w:lang w:val="en-US" w:eastAsia="zh-CN"/>
        </w:rPr>
        <w:t>4.5</w:t>
      </w:r>
      <w:r>
        <w:rPr>
          <w:rFonts w:hint="eastAsia" w:ascii="仿宋_GB2312"/>
          <w:highlight w:val="none"/>
        </w:rPr>
        <w:t>万元，用于</w:t>
      </w:r>
      <w:r>
        <w:rPr>
          <w:rFonts w:hint="eastAsia" w:ascii="仿宋_GB2312"/>
          <w:highlight w:val="none"/>
          <w:lang w:val="en-US" w:eastAsia="zh-CN"/>
        </w:rPr>
        <w:t>2</w:t>
      </w:r>
      <w:r>
        <w:rPr>
          <w:rFonts w:hint="eastAsia" w:ascii="仿宋_GB2312"/>
          <w:highlight w:val="none"/>
        </w:rPr>
        <w:t>辆公务用车</w:t>
      </w:r>
      <w:r>
        <w:rPr>
          <w:rFonts w:hint="eastAsia" w:ascii="仿宋_GB2312"/>
          <w:highlight w:val="none"/>
          <w:u w:val="none"/>
        </w:rPr>
        <w:t>燃油、维修、保险</w:t>
      </w:r>
      <w:r>
        <w:rPr>
          <w:rFonts w:hint="eastAsia" w:ascii="仿宋_GB2312"/>
          <w:highlight w:val="none"/>
        </w:rPr>
        <w:t>等方面支出，主要保障</w:t>
      </w:r>
      <w:r>
        <w:rPr>
          <w:rFonts w:hint="eastAsia" w:ascii="仿宋_GB2312"/>
          <w:highlight w:val="none"/>
          <w:lang w:val="en-US" w:eastAsia="zh-CN"/>
        </w:rPr>
        <w:t>日常事务性</w:t>
      </w:r>
      <w:r>
        <w:rPr>
          <w:rFonts w:hint="eastAsia" w:ascii="仿宋_GB2312"/>
          <w:highlight w:val="none"/>
        </w:rPr>
        <w:t>工作开展。</w:t>
      </w:r>
    </w:p>
    <w:p>
      <w:pPr>
        <w:spacing w:line="580" w:lineRule="exact"/>
        <w:ind w:firstLine="640" w:firstLineChars="200"/>
        <w:rPr>
          <w:rFonts w:hint="eastAsia" w:ascii="黑体" w:eastAsia="黑体"/>
          <w:highlight w:val="none"/>
        </w:rPr>
      </w:pPr>
      <w:r>
        <w:rPr>
          <w:rFonts w:hint="eastAsia" w:ascii="黑体" w:eastAsia="黑体"/>
          <w:highlight w:val="none"/>
          <w:lang w:eastAsia="zh-CN"/>
        </w:rPr>
        <w:t>七</w:t>
      </w:r>
      <w:r>
        <w:rPr>
          <w:rFonts w:hint="eastAsia" w:ascii="黑体" w:eastAsia="黑体"/>
          <w:highlight w:val="none"/>
        </w:rPr>
        <w:t>、政府性基金预算支出情况说明</w:t>
      </w:r>
    </w:p>
    <w:p>
      <w:pPr>
        <w:spacing w:line="580" w:lineRule="exact"/>
        <w:ind w:firstLine="640" w:firstLineChars="200"/>
        <w:rPr>
          <w:rFonts w:hint="eastAsia" w:ascii="仿宋_GB2312"/>
          <w:highlight w:val="none"/>
        </w:rPr>
      </w:pPr>
      <w:r>
        <w:rPr>
          <w:rFonts w:hint="eastAsia"/>
          <w:highlight w:val="none"/>
          <w:lang w:eastAsia="zh-CN"/>
        </w:rPr>
        <w:t>省经社研院</w:t>
      </w:r>
      <w:r>
        <w:rPr>
          <w:rFonts w:hint="eastAsia" w:ascii="仿宋_GB2312"/>
          <w:highlight w:val="none"/>
          <w:lang w:eastAsia="zh-CN"/>
        </w:rPr>
        <w:t>2021年</w:t>
      </w:r>
      <w:r>
        <w:rPr>
          <w:rFonts w:hint="eastAsia" w:ascii="仿宋_GB2312"/>
          <w:highlight w:val="none"/>
        </w:rPr>
        <w:t>没有使用政府性基金预算拨款安排的支出。</w:t>
      </w:r>
    </w:p>
    <w:p>
      <w:pPr>
        <w:spacing w:line="580" w:lineRule="exact"/>
        <w:ind w:firstLine="640" w:firstLineChars="200"/>
        <w:rPr>
          <w:rFonts w:hint="eastAsia" w:ascii="黑体" w:eastAsia="黑体"/>
          <w:highlight w:val="none"/>
        </w:rPr>
      </w:pPr>
      <w:r>
        <w:rPr>
          <w:rFonts w:hint="eastAsia" w:ascii="黑体" w:eastAsia="黑体"/>
          <w:highlight w:val="none"/>
          <w:lang w:eastAsia="zh-CN"/>
        </w:rPr>
        <w:t>八</w:t>
      </w:r>
      <w:r>
        <w:rPr>
          <w:rFonts w:hint="eastAsia" w:ascii="黑体" w:eastAsia="黑体"/>
          <w:highlight w:val="none"/>
        </w:rPr>
        <w:t>、国有资本经营预算支出情况说明</w:t>
      </w:r>
    </w:p>
    <w:p>
      <w:pPr>
        <w:spacing w:line="580" w:lineRule="exact"/>
        <w:ind w:firstLine="640" w:firstLineChars="200"/>
        <w:rPr>
          <w:rFonts w:hint="eastAsia" w:ascii="仿宋_GB2312"/>
          <w:highlight w:val="none"/>
        </w:rPr>
      </w:pPr>
      <w:r>
        <w:rPr>
          <w:rFonts w:hint="eastAsia"/>
          <w:highlight w:val="none"/>
          <w:lang w:eastAsia="zh-CN"/>
        </w:rPr>
        <w:t>省经社研院</w:t>
      </w:r>
      <w:r>
        <w:rPr>
          <w:rFonts w:hint="eastAsia" w:ascii="仿宋_GB2312"/>
          <w:highlight w:val="none"/>
          <w:lang w:eastAsia="zh-CN"/>
        </w:rPr>
        <w:t>2021年</w:t>
      </w:r>
      <w:r>
        <w:rPr>
          <w:rFonts w:hint="eastAsia" w:ascii="仿宋_GB2312"/>
          <w:highlight w:val="none"/>
        </w:rPr>
        <w:t>没有使用国有资本经营预算拨款安排的支出。</w:t>
      </w:r>
    </w:p>
    <w:p>
      <w:pPr>
        <w:spacing w:line="580" w:lineRule="exact"/>
        <w:ind w:firstLine="640" w:firstLineChars="200"/>
        <w:rPr>
          <w:rFonts w:hint="eastAsia" w:ascii="黑体" w:eastAsia="黑体"/>
          <w:highlight w:val="none"/>
        </w:rPr>
      </w:pPr>
      <w:r>
        <w:rPr>
          <w:rFonts w:hint="eastAsia" w:ascii="黑体" w:eastAsia="黑体"/>
          <w:highlight w:val="none"/>
          <w:lang w:eastAsia="zh-CN"/>
        </w:rPr>
        <w:t>九</w:t>
      </w:r>
      <w:r>
        <w:rPr>
          <w:rFonts w:hint="eastAsia" w:ascii="黑体" w:eastAsia="黑体"/>
          <w:highlight w:val="none"/>
        </w:rPr>
        <w:t>、其他重要事项的情况说明</w:t>
      </w:r>
    </w:p>
    <w:p>
      <w:pPr>
        <w:spacing w:line="580" w:lineRule="exact"/>
        <w:ind w:firstLine="643" w:firstLineChars="200"/>
        <w:rPr>
          <w:rFonts w:hint="eastAsia" w:ascii="楷体_GB2312" w:eastAsia="楷体_GB2312"/>
          <w:b/>
          <w:highlight w:val="none"/>
        </w:rPr>
      </w:pPr>
      <w:r>
        <w:rPr>
          <w:rFonts w:hint="eastAsia" w:ascii="楷体_GB2312" w:eastAsia="楷体_GB2312"/>
          <w:b/>
          <w:highlight w:val="none"/>
        </w:rPr>
        <w:t>（一）机关运行经费</w:t>
      </w:r>
    </w:p>
    <w:p>
      <w:pPr>
        <w:keepNext w:val="0"/>
        <w:keepLines w:val="0"/>
        <w:pageBreakBefore w:val="0"/>
        <w:suppressAutoHyphens/>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省经</w:t>
      </w:r>
      <w:r>
        <w:rPr>
          <w:rFonts w:hint="eastAsia" w:ascii="Times New Roman" w:hAnsi="Times New Roman" w:cs="Times New Roman"/>
          <w:sz w:val="32"/>
          <w:szCs w:val="32"/>
          <w:highlight w:val="none"/>
          <w:lang w:val="en-US" w:eastAsia="zh-CN"/>
        </w:rPr>
        <w:t>社</w:t>
      </w:r>
      <w:r>
        <w:rPr>
          <w:rFonts w:hint="eastAsia" w:ascii="Times New Roman" w:hAnsi="Times New Roman" w:eastAsia="仿宋_GB2312" w:cs="Times New Roman"/>
          <w:sz w:val="32"/>
          <w:szCs w:val="32"/>
          <w:highlight w:val="none"/>
          <w:lang w:val="en-US" w:eastAsia="zh-CN"/>
        </w:rPr>
        <w:t>研院</w:t>
      </w:r>
      <w:r>
        <w:rPr>
          <w:rFonts w:hint="eastAsia" w:ascii="Times New Roman" w:hAnsi="Times New Roman" w:eastAsia="仿宋_GB2312" w:cs="Times New Roman"/>
          <w:sz w:val="32"/>
          <w:szCs w:val="32"/>
          <w:highlight w:val="none"/>
        </w:rPr>
        <w:t>为事业单位，按规定未使用机关运行的相关科目。</w:t>
      </w:r>
    </w:p>
    <w:p>
      <w:pPr>
        <w:spacing w:line="580" w:lineRule="exact"/>
        <w:ind w:firstLine="643" w:firstLineChars="200"/>
        <w:rPr>
          <w:rFonts w:hint="eastAsia" w:ascii="楷体_GB2312" w:eastAsia="楷体_GB2312"/>
          <w:b/>
          <w:highlight w:val="none"/>
        </w:rPr>
      </w:pPr>
      <w:r>
        <w:rPr>
          <w:rFonts w:hint="eastAsia" w:ascii="楷体_GB2312" w:eastAsia="楷体_GB2312"/>
          <w:b/>
          <w:highlight w:val="none"/>
        </w:rPr>
        <w:t>（二）政府采购情况</w:t>
      </w:r>
    </w:p>
    <w:p>
      <w:pPr>
        <w:spacing w:line="580" w:lineRule="exact"/>
        <w:ind w:firstLine="640" w:firstLineChars="200"/>
        <w:rPr>
          <w:rFonts w:hint="eastAsia" w:ascii="仿宋_GB2312"/>
          <w:highlight w:val="none"/>
        </w:rPr>
      </w:pPr>
      <w:r>
        <w:rPr>
          <w:rFonts w:hint="eastAsia" w:ascii="仿宋_GB2312"/>
          <w:highlight w:val="none"/>
          <w:lang w:eastAsia="zh-CN"/>
        </w:rPr>
        <w:t>2021年</w:t>
      </w:r>
      <w:r>
        <w:rPr>
          <w:rFonts w:hint="eastAsia"/>
          <w:highlight w:val="none"/>
        </w:rPr>
        <w:t>，</w:t>
      </w:r>
      <w:r>
        <w:rPr>
          <w:rFonts w:hint="eastAsia"/>
          <w:highlight w:val="none"/>
          <w:lang w:eastAsia="zh-CN"/>
        </w:rPr>
        <w:t>省经社研院</w:t>
      </w:r>
      <w:r>
        <w:rPr>
          <w:rFonts w:hint="eastAsia" w:ascii="仿宋_GB2312"/>
          <w:highlight w:val="none"/>
        </w:rPr>
        <w:t>安排政府采购预算</w:t>
      </w:r>
      <w:r>
        <w:rPr>
          <w:rFonts w:hint="eastAsia" w:ascii="仿宋_GB2312"/>
          <w:highlight w:val="none"/>
          <w:lang w:val="en-US" w:eastAsia="zh-CN"/>
        </w:rPr>
        <w:t>45.66</w:t>
      </w:r>
      <w:r>
        <w:rPr>
          <w:rFonts w:hint="eastAsia" w:ascii="仿宋_GB2312"/>
          <w:highlight w:val="none"/>
        </w:rPr>
        <w:t>万元，主要用于采购</w:t>
      </w:r>
      <w:r>
        <w:rPr>
          <w:rFonts w:hint="eastAsia" w:ascii="仿宋_GB2312"/>
          <w:highlight w:val="none"/>
          <w:lang w:val="en-US" w:eastAsia="zh-CN"/>
        </w:rPr>
        <w:t>科研管理信息系统、台式计算机、车辆保险维修及油费</w:t>
      </w:r>
      <w:r>
        <w:rPr>
          <w:rFonts w:hint="eastAsia" w:ascii="仿宋_GB2312"/>
          <w:highlight w:val="none"/>
        </w:rPr>
        <w:t>。</w:t>
      </w:r>
    </w:p>
    <w:p>
      <w:pPr>
        <w:spacing w:line="580" w:lineRule="exact"/>
        <w:ind w:firstLine="643" w:firstLineChars="200"/>
        <w:rPr>
          <w:rFonts w:hint="eastAsia" w:ascii="楷体_GB2312" w:eastAsia="楷体_GB2312"/>
          <w:b/>
          <w:highlight w:val="none"/>
        </w:rPr>
      </w:pPr>
      <w:r>
        <w:rPr>
          <w:rFonts w:hint="eastAsia" w:ascii="楷体_GB2312" w:eastAsia="楷体_GB2312"/>
          <w:b/>
          <w:highlight w:val="none"/>
        </w:rPr>
        <w:t>（三）国有资产占有使用情况</w:t>
      </w:r>
    </w:p>
    <w:p>
      <w:pPr>
        <w:spacing w:line="580" w:lineRule="exact"/>
        <w:ind w:firstLine="640" w:firstLineChars="200"/>
        <w:rPr>
          <w:rFonts w:hint="eastAsia" w:ascii="仿宋_GB2312"/>
          <w:highlight w:val="none"/>
        </w:rPr>
      </w:pPr>
      <w:r>
        <w:rPr>
          <w:rFonts w:hint="eastAsia" w:ascii="仿宋_GB2312"/>
          <w:highlight w:val="none"/>
        </w:rPr>
        <w:t>截至</w:t>
      </w:r>
      <w:r>
        <w:rPr>
          <w:rFonts w:hint="eastAsia" w:ascii="仿宋_GB2312"/>
          <w:highlight w:val="none"/>
          <w:lang w:eastAsia="zh-CN"/>
        </w:rPr>
        <w:t>2020年</w:t>
      </w:r>
      <w:r>
        <w:rPr>
          <w:rFonts w:hint="eastAsia" w:ascii="仿宋_GB2312"/>
          <w:highlight w:val="none"/>
        </w:rPr>
        <w:t>底，</w:t>
      </w:r>
      <w:r>
        <w:rPr>
          <w:rFonts w:hint="eastAsia"/>
          <w:highlight w:val="none"/>
          <w:lang w:eastAsia="zh-CN"/>
        </w:rPr>
        <w:t>省经社研院</w:t>
      </w:r>
      <w:r>
        <w:rPr>
          <w:rFonts w:hint="eastAsia" w:ascii="仿宋_GB2312"/>
          <w:highlight w:val="none"/>
        </w:rPr>
        <w:t>共有车辆</w:t>
      </w:r>
      <w:r>
        <w:rPr>
          <w:rFonts w:hint="eastAsia" w:ascii="仿宋_GB2312"/>
          <w:highlight w:val="none"/>
          <w:lang w:val="en-US" w:eastAsia="zh-CN"/>
        </w:rPr>
        <w:t>2</w:t>
      </w:r>
      <w:r>
        <w:rPr>
          <w:rFonts w:hint="eastAsia" w:ascii="仿宋_GB2312"/>
          <w:highlight w:val="none"/>
        </w:rPr>
        <w:t>辆，其中，省部级领导干部用车</w:t>
      </w:r>
      <w:r>
        <w:rPr>
          <w:rFonts w:hint="eastAsia" w:ascii="仿宋_GB2312"/>
          <w:highlight w:val="none"/>
          <w:lang w:val="en-US" w:eastAsia="zh-CN"/>
        </w:rPr>
        <w:t>0</w:t>
      </w:r>
      <w:r>
        <w:rPr>
          <w:rFonts w:hint="eastAsia" w:ascii="仿宋_GB2312"/>
          <w:highlight w:val="none"/>
        </w:rPr>
        <w:t>辆、定向保障用车</w:t>
      </w:r>
      <w:r>
        <w:rPr>
          <w:rFonts w:hint="eastAsia" w:ascii="仿宋_GB2312"/>
          <w:highlight w:val="none"/>
          <w:lang w:val="en-US" w:eastAsia="zh-CN"/>
        </w:rPr>
        <w:t>0</w:t>
      </w:r>
      <w:r>
        <w:rPr>
          <w:rFonts w:hint="eastAsia" w:ascii="仿宋_GB2312"/>
          <w:highlight w:val="none"/>
        </w:rPr>
        <w:t>辆、执法执勤用车</w:t>
      </w:r>
      <w:r>
        <w:rPr>
          <w:rFonts w:hint="eastAsia" w:ascii="仿宋_GB2312"/>
          <w:highlight w:val="none"/>
          <w:lang w:val="en-US" w:eastAsia="zh-CN"/>
        </w:rPr>
        <w:t>0</w:t>
      </w:r>
      <w:r>
        <w:rPr>
          <w:rFonts w:hint="eastAsia" w:ascii="仿宋_GB2312"/>
          <w:highlight w:val="none"/>
        </w:rPr>
        <w:t>辆。单位价值200万元以上大型设备</w:t>
      </w:r>
      <w:r>
        <w:rPr>
          <w:rFonts w:hint="eastAsia" w:ascii="仿宋_GB2312"/>
          <w:highlight w:val="none"/>
          <w:lang w:val="en-US" w:eastAsia="zh-CN"/>
        </w:rPr>
        <w:t>0</w:t>
      </w:r>
      <w:r>
        <w:rPr>
          <w:rFonts w:hint="eastAsia" w:ascii="仿宋_GB2312"/>
          <w:highlight w:val="none"/>
        </w:rPr>
        <w:t>台。</w:t>
      </w:r>
    </w:p>
    <w:p>
      <w:pPr>
        <w:spacing w:line="580" w:lineRule="exact"/>
        <w:ind w:firstLine="640" w:firstLineChars="200"/>
        <w:rPr>
          <w:rFonts w:hint="eastAsia" w:ascii="仿宋_GB2312"/>
          <w:highlight w:val="none"/>
        </w:rPr>
      </w:pPr>
      <w:r>
        <w:rPr>
          <w:rFonts w:hint="eastAsia" w:ascii="仿宋_GB2312"/>
          <w:highlight w:val="none"/>
          <w:lang w:val="en-US" w:eastAsia="zh-CN"/>
        </w:rPr>
        <w:t>2</w:t>
      </w:r>
      <w:r>
        <w:rPr>
          <w:rFonts w:hint="eastAsia" w:ascii="仿宋_GB2312"/>
          <w:highlight w:val="none"/>
          <w:lang w:eastAsia="zh-CN"/>
        </w:rPr>
        <w:t>021年单位</w:t>
      </w:r>
      <w:r>
        <w:rPr>
          <w:rFonts w:hint="eastAsia" w:ascii="仿宋_GB2312"/>
          <w:highlight w:val="none"/>
        </w:rPr>
        <w:t>预算未安排购置车辆及单位价值200万元以上大型设备。</w:t>
      </w:r>
    </w:p>
    <w:p>
      <w:pPr>
        <w:spacing w:line="580" w:lineRule="exact"/>
        <w:ind w:firstLine="643" w:firstLineChars="200"/>
        <w:rPr>
          <w:rFonts w:hint="eastAsia" w:ascii="楷体_GB2312" w:eastAsia="楷体_GB2312"/>
          <w:b/>
          <w:highlight w:val="none"/>
        </w:rPr>
      </w:pPr>
      <w:r>
        <w:rPr>
          <w:rFonts w:hint="eastAsia" w:ascii="楷体_GB2312" w:eastAsia="楷体_GB2312"/>
          <w:b/>
          <w:highlight w:val="none"/>
        </w:rPr>
        <w:t>（四）绩效目标设置情况</w:t>
      </w:r>
    </w:p>
    <w:p>
      <w:pPr>
        <w:spacing w:line="580" w:lineRule="exact"/>
        <w:ind w:firstLine="640" w:firstLineChars="200"/>
        <w:rPr>
          <w:rFonts w:hint="eastAsia" w:ascii="仿宋_GB2312"/>
          <w:highlight w:val="none"/>
        </w:rPr>
      </w:pPr>
      <w:r>
        <w:rPr>
          <w:rFonts w:hint="eastAsia" w:ascii="仿宋_GB2312"/>
          <w:highlight w:val="none"/>
          <w:lang w:eastAsia="zh-CN"/>
        </w:rPr>
        <w:t>202</w:t>
      </w:r>
      <w:r>
        <w:rPr>
          <w:rFonts w:hint="eastAsia" w:ascii="仿宋_GB2312"/>
          <w:highlight w:val="none"/>
          <w:lang w:val="en-US" w:eastAsia="zh-CN"/>
        </w:rPr>
        <w:t>1</w:t>
      </w:r>
      <w:r>
        <w:rPr>
          <w:rFonts w:hint="eastAsia" w:ascii="仿宋_GB2312"/>
          <w:highlight w:val="none"/>
          <w:lang w:eastAsia="zh-CN"/>
        </w:rPr>
        <w:t>年省经社研院</w:t>
      </w:r>
      <w:r>
        <w:rPr>
          <w:rFonts w:hint="eastAsia" w:ascii="仿宋_GB2312"/>
          <w:highlight w:val="none"/>
        </w:rPr>
        <w:t>无</w:t>
      </w:r>
      <w:r>
        <w:rPr>
          <w:rFonts w:ascii="仿宋_GB2312"/>
          <w:highlight w:val="none"/>
        </w:rPr>
        <w:t>100</w:t>
      </w:r>
      <w:r>
        <w:rPr>
          <w:rFonts w:hint="eastAsia" w:ascii="仿宋_GB2312"/>
          <w:highlight w:val="none"/>
        </w:rPr>
        <w:t>万元</w:t>
      </w:r>
      <w:r>
        <w:rPr>
          <w:rFonts w:hint="eastAsia" w:ascii="仿宋_GB2312"/>
          <w:highlight w:val="none"/>
          <w:lang w:eastAsia="zh-CN"/>
        </w:rPr>
        <w:t>及</w:t>
      </w:r>
      <w:r>
        <w:rPr>
          <w:rFonts w:hint="eastAsia" w:ascii="仿宋_GB2312"/>
          <w:highlight w:val="none"/>
        </w:rPr>
        <w:t>以上项目，按照预算编制要求，无需编制部门预算绩效目标。</w:t>
      </w:r>
    </w:p>
    <w:p>
      <w:pPr>
        <w:spacing w:line="580" w:lineRule="exact"/>
        <w:ind w:firstLine="640" w:firstLineChars="200"/>
        <w:rPr>
          <w:rFonts w:hint="eastAsia" w:ascii="黑体" w:eastAsia="黑体"/>
          <w:highlight w:val="none"/>
        </w:rPr>
      </w:pPr>
      <w:r>
        <w:rPr>
          <w:rFonts w:hint="eastAsia" w:ascii="黑体" w:eastAsia="黑体"/>
          <w:highlight w:val="none"/>
        </w:rPr>
        <w:t>十、名词解释</w:t>
      </w:r>
    </w:p>
    <w:p>
      <w:pPr>
        <w:spacing w:line="580" w:lineRule="exact"/>
        <w:ind w:firstLine="640" w:firstLineChars="200"/>
        <w:rPr>
          <w:rFonts w:hint="eastAsia" w:ascii="仿宋_GB2312"/>
          <w:highlight w:val="none"/>
          <w:lang w:val="en-US" w:eastAsia="zh-CN"/>
        </w:rPr>
      </w:pPr>
      <w:r>
        <w:rPr>
          <w:rFonts w:hint="eastAsia" w:ascii="仿宋_GB2312"/>
          <w:highlight w:val="none"/>
          <w:lang w:val="en-US" w:eastAsia="zh-CN"/>
        </w:rPr>
        <w:t>1.财政拨款收入:指省级财政当年拨付的资金。</w:t>
      </w:r>
    </w:p>
    <w:p>
      <w:pPr>
        <w:spacing w:line="580" w:lineRule="exact"/>
        <w:ind w:firstLine="640" w:firstLineChars="200"/>
        <w:rPr>
          <w:rFonts w:hint="eastAsia" w:ascii="仿宋_GB2312"/>
          <w:highlight w:val="none"/>
          <w:lang w:val="en-US" w:eastAsia="zh-CN"/>
        </w:rPr>
      </w:pPr>
      <w:r>
        <w:rPr>
          <w:rFonts w:hint="eastAsia" w:ascii="仿宋_GB2312"/>
          <w:highlight w:val="none"/>
          <w:lang w:val="en-US" w:eastAsia="zh-CN"/>
        </w:rPr>
        <w:t>2.事业单位经营收入:指事业单位在专业业务活动及其辅助活动之外开展非独立核算经营活动取得的收入。</w:t>
      </w:r>
    </w:p>
    <w:p>
      <w:pPr>
        <w:spacing w:line="580" w:lineRule="exact"/>
        <w:ind w:firstLine="640" w:firstLineChars="200"/>
        <w:rPr>
          <w:rFonts w:hint="eastAsia" w:ascii="仿宋_GB2312"/>
          <w:highlight w:val="none"/>
          <w:lang w:val="en-US" w:eastAsia="zh-CN"/>
        </w:rPr>
      </w:pPr>
      <w:r>
        <w:rPr>
          <w:rFonts w:hint="eastAsia" w:ascii="仿宋_GB2312"/>
          <w:highlight w:val="none"/>
          <w:lang w:val="en-US" w:eastAsia="zh-CN"/>
        </w:rPr>
        <w:t>3.其他收入:指除“财政拨款收入”、“上级补助收入”、“经营收入”等以外的收入，主要是利息收入等。</w:t>
      </w:r>
    </w:p>
    <w:p>
      <w:pPr>
        <w:spacing w:line="580" w:lineRule="exact"/>
        <w:ind w:firstLine="640" w:firstLineChars="200"/>
        <w:rPr>
          <w:rFonts w:hint="eastAsia" w:ascii="仿宋_GB2312"/>
          <w:highlight w:val="none"/>
          <w:lang w:val="en-US" w:eastAsia="zh-CN"/>
        </w:rPr>
      </w:pPr>
      <w:r>
        <w:rPr>
          <w:rFonts w:hint="eastAsia" w:ascii="仿宋_GB2312"/>
          <w:highlight w:val="none"/>
          <w:lang w:val="en-US" w:eastAsia="zh-CN"/>
        </w:rPr>
        <w:t>4.一般公共服务支出:反映政府提供一般公共服务的支出。</w:t>
      </w:r>
    </w:p>
    <w:p>
      <w:pPr>
        <w:spacing w:line="580" w:lineRule="exact"/>
        <w:ind w:firstLine="640" w:firstLineChars="200"/>
        <w:rPr>
          <w:rFonts w:hint="eastAsia" w:ascii="仿宋_GB2312"/>
          <w:highlight w:val="none"/>
          <w:lang w:val="en-US" w:eastAsia="zh-CN"/>
        </w:rPr>
      </w:pPr>
      <w:r>
        <w:rPr>
          <w:rFonts w:hint="eastAsia" w:ascii="仿宋_GB2312"/>
          <w:highlight w:val="none"/>
          <w:lang w:val="en-US" w:eastAsia="zh-CN"/>
        </w:rPr>
        <w:t>5.教育支出:反映政府教育事务支出。</w:t>
      </w:r>
    </w:p>
    <w:p>
      <w:pPr>
        <w:spacing w:line="580" w:lineRule="exact"/>
        <w:ind w:firstLine="640" w:firstLineChars="200"/>
        <w:rPr>
          <w:rFonts w:hint="eastAsia" w:ascii="仿宋_GB2312"/>
          <w:highlight w:val="none"/>
          <w:lang w:val="en-US" w:eastAsia="zh-CN"/>
        </w:rPr>
      </w:pPr>
      <w:r>
        <w:rPr>
          <w:rFonts w:hint="eastAsia" w:ascii="仿宋_GB2312"/>
          <w:highlight w:val="none"/>
          <w:lang w:val="en-US" w:eastAsia="zh-CN"/>
        </w:rPr>
        <w:t>6.科学技术支出:反映科学技术方面的支出。</w:t>
      </w:r>
    </w:p>
    <w:p>
      <w:pPr>
        <w:spacing w:line="580" w:lineRule="exact"/>
        <w:ind w:firstLine="640" w:firstLineChars="200"/>
        <w:rPr>
          <w:rFonts w:hint="eastAsia" w:ascii="仿宋_GB2312"/>
          <w:highlight w:val="none"/>
          <w:lang w:val="en-US" w:eastAsia="zh-CN"/>
        </w:rPr>
      </w:pPr>
      <w:r>
        <w:rPr>
          <w:rFonts w:hint="eastAsia" w:ascii="仿宋_GB2312"/>
          <w:highlight w:val="none"/>
          <w:lang w:val="en-US" w:eastAsia="zh-CN"/>
        </w:rPr>
        <w:t>7.社会保障和就业支出:反映政府在社会保障与就业方面的支出。</w:t>
      </w:r>
    </w:p>
    <w:p>
      <w:pPr>
        <w:spacing w:line="580" w:lineRule="exact"/>
        <w:ind w:firstLine="640" w:firstLineChars="200"/>
        <w:rPr>
          <w:rFonts w:hint="eastAsia" w:ascii="仿宋_GB2312"/>
          <w:highlight w:val="none"/>
          <w:lang w:val="en-US" w:eastAsia="zh-CN"/>
        </w:rPr>
      </w:pPr>
      <w:r>
        <w:rPr>
          <w:rFonts w:hint="eastAsia" w:ascii="仿宋_GB2312"/>
          <w:highlight w:val="none"/>
          <w:lang w:val="en-US" w:eastAsia="zh-CN"/>
        </w:rPr>
        <w:t>8.卫生健康支出:反映政府卫生健康方面的支出。</w:t>
      </w:r>
    </w:p>
    <w:p>
      <w:pPr>
        <w:spacing w:line="580" w:lineRule="exact"/>
        <w:ind w:firstLine="640" w:firstLineChars="200"/>
        <w:rPr>
          <w:rFonts w:hint="eastAsia" w:ascii="仿宋_GB2312"/>
          <w:highlight w:val="none"/>
          <w:lang w:val="en-US" w:eastAsia="zh-CN"/>
        </w:rPr>
      </w:pPr>
      <w:r>
        <w:rPr>
          <w:rFonts w:hint="eastAsia" w:ascii="仿宋_GB2312"/>
          <w:highlight w:val="none"/>
          <w:lang w:val="en-US" w:eastAsia="zh-CN"/>
        </w:rPr>
        <w:t>9.住房保障支出:集中反映政府用于住房方面的支出。</w:t>
      </w:r>
    </w:p>
    <w:p>
      <w:pPr>
        <w:spacing w:line="580" w:lineRule="exact"/>
        <w:ind w:firstLine="640" w:firstLineChars="200"/>
        <w:rPr>
          <w:rFonts w:hint="eastAsia" w:ascii="仿宋_GB2312"/>
          <w:highlight w:val="none"/>
          <w:lang w:val="en-US" w:eastAsia="zh-CN"/>
        </w:rPr>
      </w:pPr>
      <w:r>
        <w:rPr>
          <w:rFonts w:hint="eastAsia" w:ascii="仿宋_GB2312"/>
          <w:highlight w:val="none"/>
          <w:lang w:val="en-US" w:eastAsia="zh-CN"/>
        </w:rPr>
        <w:t>10.“三公”经费:纳入省级财政预决算管理的“三公”经费,是指部门用财政拨款安排的因公出国(境)费、公务用车购置及运行费和公务接待费。其中,因公出国(境)费反映单位因公出国(境)的国际旅费、国外城市间交通费、住宿费、用餐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580" w:lineRule="exact"/>
        <w:ind w:firstLine="640" w:firstLineChars="200"/>
        <w:rPr>
          <w:rFonts w:hint="eastAsia" w:ascii="仿宋_GB2312"/>
          <w:highlight w:val="none"/>
          <w:lang w:val="en-US" w:eastAsia="zh-CN"/>
        </w:rPr>
      </w:pPr>
    </w:p>
    <w:p>
      <w:pPr>
        <w:spacing w:line="580" w:lineRule="exact"/>
        <w:rPr>
          <w:rFonts w:hint="eastAsia" w:ascii="仿宋_GB2312"/>
          <w:highlight w:val="none"/>
        </w:rPr>
      </w:pPr>
      <w:r>
        <w:rPr>
          <w:rFonts w:hint="eastAsia" w:ascii="仿宋_GB2312"/>
          <w:highlight w:val="none"/>
        </w:rPr>
        <w:t>附件：</w:t>
      </w:r>
      <w:r>
        <w:rPr>
          <w:rFonts w:hint="eastAsia" w:ascii="仿宋_GB2312"/>
          <w:highlight w:val="none"/>
          <w:lang w:val="en-US" w:eastAsia="zh-CN"/>
        </w:rPr>
        <w:t>1.</w:t>
      </w:r>
      <w:r>
        <w:rPr>
          <w:rFonts w:hint="eastAsia" w:ascii="仿宋_GB2312"/>
          <w:highlight w:val="none"/>
        </w:rPr>
        <w:t>表1.</w:t>
      </w:r>
      <w:r>
        <w:rPr>
          <w:rFonts w:hint="eastAsia" w:ascii="仿宋_GB2312"/>
          <w:highlight w:val="none"/>
          <w:lang w:val="en-US" w:eastAsia="zh-CN"/>
        </w:rPr>
        <w:t>部门</w:t>
      </w:r>
      <w:r>
        <w:rPr>
          <w:rFonts w:hint="eastAsia" w:ascii="仿宋_GB2312"/>
          <w:highlight w:val="none"/>
        </w:rPr>
        <w:t>收支总表</w:t>
      </w:r>
    </w:p>
    <w:p>
      <w:pPr>
        <w:spacing w:line="580" w:lineRule="exact"/>
        <w:rPr>
          <w:rFonts w:hint="eastAsia" w:ascii="仿宋_GB2312"/>
          <w:highlight w:val="none"/>
        </w:rPr>
      </w:pPr>
      <w:r>
        <w:rPr>
          <w:rFonts w:hint="eastAsia" w:ascii="仿宋_GB2312"/>
          <w:highlight w:val="none"/>
        </w:rPr>
        <w:t xml:space="preserve">      </w:t>
      </w:r>
      <w:r>
        <w:rPr>
          <w:rFonts w:hint="eastAsia" w:ascii="仿宋_GB2312"/>
          <w:highlight w:val="none"/>
          <w:lang w:val="en-US" w:eastAsia="zh-CN"/>
        </w:rPr>
        <w:t>2.</w:t>
      </w:r>
      <w:r>
        <w:rPr>
          <w:rFonts w:hint="eastAsia" w:ascii="仿宋_GB2312"/>
          <w:highlight w:val="none"/>
        </w:rPr>
        <w:t>表1-1.</w:t>
      </w:r>
      <w:r>
        <w:rPr>
          <w:rFonts w:hint="eastAsia" w:ascii="仿宋_GB2312"/>
          <w:highlight w:val="none"/>
          <w:lang w:val="en-US" w:eastAsia="zh-CN"/>
        </w:rPr>
        <w:t>部门</w:t>
      </w:r>
      <w:r>
        <w:rPr>
          <w:rFonts w:hint="eastAsia" w:ascii="仿宋_GB2312"/>
          <w:highlight w:val="none"/>
        </w:rPr>
        <w:t>收入总表</w:t>
      </w:r>
    </w:p>
    <w:p>
      <w:pPr>
        <w:spacing w:line="580" w:lineRule="exact"/>
        <w:rPr>
          <w:rFonts w:hint="eastAsia" w:ascii="仿宋_GB2312"/>
          <w:highlight w:val="none"/>
        </w:rPr>
      </w:pPr>
      <w:r>
        <w:rPr>
          <w:rFonts w:hint="eastAsia" w:ascii="仿宋_GB2312"/>
          <w:highlight w:val="none"/>
        </w:rPr>
        <w:t xml:space="preserve">      </w:t>
      </w:r>
      <w:r>
        <w:rPr>
          <w:rFonts w:hint="eastAsia" w:ascii="仿宋_GB2312"/>
          <w:highlight w:val="none"/>
          <w:lang w:val="en-US" w:eastAsia="zh-CN"/>
        </w:rPr>
        <w:t>3.</w:t>
      </w:r>
      <w:r>
        <w:rPr>
          <w:rFonts w:hint="eastAsia" w:ascii="仿宋_GB2312"/>
          <w:highlight w:val="none"/>
        </w:rPr>
        <w:t>表1-2.</w:t>
      </w:r>
      <w:r>
        <w:rPr>
          <w:rFonts w:hint="eastAsia" w:ascii="仿宋_GB2312"/>
          <w:highlight w:val="none"/>
          <w:lang w:val="en-US" w:eastAsia="zh-CN"/>
        </w:rPr>
        <w:t>部门</w:t>
      </w:r>
      <w:r>
        <w:rPr>
          <w:rFonts w:hint="eastAsia" w:ascii="仿宋_GB2312"/>
          <w:highlight w:val="none"/>
        </w:rPr>
        <w:t>支出总表</w:t>
      </w:r>
    </w:p>
    <w:p>
      <w:pPr>
        <w:spacing w:line="580" w:lineRule="exact"/>
        <w:ind w:firstLine="960" w:firstLineChars="300"/>
        <w:rPr>
          <w:rFonts w:hint="eastAsia" w:ascii="仿宋_GB2312"/>
          <w:highlight w:val="none"/>
        </w:rPr>
      </w:pPr>
      <w:r>
        <w:rPr>
          <w:rFonts w:hint="eastAsia" w:ascii="仿宋_GB2312"/>
          <w:highlight w:val="none"/>
          <w:lang w:val="en-US" w:eastAsia="zh-CN"/>
        </w:rPr>
        <w:t>4.</w:t>
      </w:r>
      <w:r>
        <w:rPr>
          <w:rFonts w:hint="eastAsia" w:ascii="仿宋_GB2312"/>
          <w:highlight w:val="none"/>
        </w:rPr>
        <w:t>表2.财政拨款收支预算总表</w:t>
      </w:r>
    </w:p>
    <w:p>
      <w:pPr>
        <w:spacing w:line="580" w:lineRule="exact"/>
        <w:ind w:firstLine="960" w:firstLineChars="300"/>
        <w:rPr>
          <w:rFonts w:hint="eastAsia" w:ascii="仿宋_GB2312"/>
          <w:highlight w:val="none"/>
        </w:rPr>
      </w:pPr>
      <w:r>
        <w:rPr>
          <w:rFonts w:hint="eastAsia" w:ascii="仿宋_GB2312"/>
          <w:highlight w:val="none"/>
          <w:lang w:val="en-US" w:eastAsia="zh-CN"/>
        </w:rPr>
        <w:t>5.</w:t>
      </w:r>
      <w:r>
        <w:rPr>
          <w:rFonts w:hint="eastAsia" w:ascii="仿宋_GB2312"/>
          <w:highlight w:val="none"/>
        </w:rPr>
        <w:t>表2-1.财政拨款支出预算表（政府经济分类科目）</w:t>
      </w:r>
    </w:p>
    <w:p>
      <w:pPr>
        <w:spacing w:line="580" w:lineRule="exact"/>
        <w:ind w:firstLine="960" w:firstLineChars="300"/>
        <w:rPr>
          <w:rFonts w:hint="eastAsia" w:ascii="仿宋_GB2312"/>
          <w:highlight w:val="none"/>
        </w:rPr>
      </w:pPr>
      <w:r>
        <w:rPr>
          <w:rFonts w:hint="eastAsia" w:ascii="仿宋_GB2312"/>
          <w:highlight w:val="none"/>
          <w:lang w:val="en-US" w:eastAsia="zh-CN"/>
        </w:rPr>
        <w:t>6.</w:t>
      </w:r>
      <w:r>
        <w:rPr>
          <w:rFonts w:hint="eastAsia" w:ascii="仿宋_GB2312"/>
          <w:highlight w:val="none"/>
        </w:rPr>
        <w:t>表3.一般公共预算支出预算表</w:t>
      </w:r>
    </w:p>
    <w:p>
      <w:pPr>
        <w:spacing w:line="580" w:lineRule="exact"/>
        <w:ind w:firstLine="960" w:firstLineChars="300"/>
        <w:rPr>
          <w:rFonts w:hint="eastAsia" w:ascii="仿宋_GB2312"/>
          <w:highlight w:val="none"/>
        </w:rPr>
      </w:pPr>
      <w:r>
        <w:rPr>
          <w:rFonts w:hint="eastAsia" w:ascii="仿宋_GB2312"/>
          <w:highlight w:val="none"/>
          <w:lang w:val="en-US" w:eastAsia="zh-CN"/>
        </w:rPr>
        <w:t>7.</w:t>
      </w:r>
      <w:r>
        <w:rPr>
          <w:rFonts w:hint="eastAsia" w:ascii="仿宋_GB2312"/>
          <w:highlight w:val="none"/>
        </w:rPr>
        <w:t>表3-1.一般公共预算基本支出预算表</w:t>
      </w:r>
    </w:p>
    <w:p>
      <w:pPr>
        <w:spacing w:line="580" w:lineRule="exact"/>
        <w:ind w:firstLine="960" w:firstLineChars="300"/>
        <w:rPr>
          <w:rFonts w:hint="eastAsia" w:ascii="仿宋_GB2312"/>
          <w:highlight w:val="none"/>
        </w:rPr>
      </w:pPr>
      <w:r>
        <w:rPr>
          <w:rFonts w:hint="eastAsia" w:ascii="仿宋_GB2312"/>
          <w:highlight w:val="none"/>
          <w:lang w:val="en-US" w:eastAsia="zh-CN"/>
        </w:rPr>
        <w:t>8.</w:t>
      </w:r>
      <w:r>
        <w:rPr>
          <w:rFonts w:hint="eastAsia" w:ascii="仿宋_GB2312"/>
          <w:highlight w:val="none"/>
        </w:rPr>
        <w:t>表3-2.一般公共预算项目支出预算表</w:t>
      </w:r>
    </w:p>
    <w:p>
      <w:pPr>
        <w:spacing w:line="580" w:lineRule="exact"/>
        <w:ind w:firstLine="960" w:firstLineChars="300"/>
        <w:rPr>
          <w:rFonts w:hint="eastAsia" w:ascii="仿宋_GB2312"/>
          <w:highlight w:val="none"/>
        </w:rPr>
      </w:pPr>
      <w:r>
        <w:rPr>
          <w:rFonts w:hint="eastAsia" w:ascii="仿宋_GB2312"/>
          <w:highlight w:val="none"/>
          <w:lang w:val="en-US" w:eastAsia="zh-CN"/>
        </w:rPr>
        <w:t>9.</w:t>
      </w:r>
      <w:r>
        <w:rPr>
          <w:rFonts w:hint="eastAsia" w:ascii="仿宋_GB2312"/>
          <w:highlight w:val="none"/>
        </w:rPr>
        <w:t>表3-3.一般公共预算“三公”经费支出预算表</w:t>
      </w:r>
    </w:p>
    <w:p>
      <w:pPr>
        <w:spacing w:line="580" w:lineRule="exact"/>
        <w:ind w:firstLine="960" w:firstLineChars="300"/>
        <w:rPr>
          <w:rFonts w:hint="eastAsia" w:ascii="仿宋_GB2312"/>
          <w:highlight w:val="none"/>
        </w:rPr>
      </w:pPr>
      <w:r>
        <w:rPr>
          <w:rFonts w:hint="eastAsia" w:ascii="仿宋_GB2312"/>
          <w:highlight w:val="none"/>
          <w:lang w:val="en-US" w:eastAsia="zh-CN"/>
        </w:rPr>
        <w:t>10.</w:t>
      </w:r>
      <w:r>
        <w:rPr>
          <w:rFonts w:hint="eastAsia" w:ascii="仿宋_GB2312"/>
          <w:highlight w:val="none"/>
        </w:rPr>
        <w:t>表4.政府性基金支出预算表</w:t>
      </w:r>
    </w:p>
    <w:p>
      <w:pPr>
        <w:spacing w:line="580" w:lineRule="exact"/>
        <w:ind w:firstLine="960" w:firstLineChars="300"/>
        <w:rPr>
          <w:rFonts w:hint="eastAsia" w:ascii="仿宋_GB2312"/>
          <w:highlight w:val="none"/>
        </w:rPr>
      </w:pPr>
      <w:r>
        <w:rPr>
          <w:rFonts w:hint="eastAsia" w:ascii="仿宋_GB2312"/>
          <w:highlight w:val="none"/>
          <w:lang w:val="en-US" w:eastAsia="zh-CN"/>
        </w:rPr>
        <w:t>11.</w:t>
      </w:r>
      <w:r>
        <w:rPr>
          <w:rFonts w:hint="eastAsia" w:ascii="仿宋_GB2312"/>
          <w:highlight w:val="none"/>
        </w:rPr>
        <w:t>表4-1.政府性基金预算“三公”经费支出预算表</w:t>
      </w:r>
    </w:p>
    <w:p>
      <w:pPr>
        <w:spacing w:line="580" w:lineRule="exact"/>
        <w:ind w:firstLine="960" w:firstLineChars="300"/>
        <w:rPr>
          <w:rFonts w:hint="eastAsia" w:ascii="仿宋_GB2312"/>
          <w:highlight w:val="none"/>
        </w:rPr>
      </w:pPr>
      <w:r>
        <w:rPr>
          <w:rFonts w:hint="eastAsia" w:ascii="仿宋_GB2312"/>
          <w:highlight w:val="none"/>
          <w:lang w:val="en-US" w:eastAsia="zh-CN"/>
        </w:rPr>
        <w:t>12.</w:t>
      </w:r>
      <w:r>
        <w:rPr>
          <w:rFonts w:hint="eastAsia" w:ascii="仿宋_GB2312"/>
          <w:highlight w:val="none"/>
        </w:rPr>
        <w:t>表5.国有资本经营预算支出预算表</w:t>
      </w:r>
    </w:p>
    <w:p>
      <w:pPr>
        <w:ind w:firstLine="960" w:firstLineChars="300"/>
        <w:rPr>
          <w:rFonts w:hint="eastAsia" w:ascii="仿宋_GB2312"/>
          <w:highlight w:val="none"/>
        </w:rPr>
      </w:pPr>
      <w:r>
        <w:rPr>
          <w:rFonts w:hint="eastAsia" w:ascii="仿宋_GB2312"/>
          <w:highlight w:val="none"/>
          <w:lang w:val="en-US" w:eastAsia="zh-CN"/>
        </w:rPr>
        <w:t>13.</w:t>
      </w:r>
      <w:r>
        <w:rPr>
          <w:rFonts w:hint="eastAsia" w:ascii="仿宋_GB2312"/>
          <w:highlight w:val="none"/>
        </w:rPr>
        <w:t>表6.</w:t>
      </w:r>
      <w:r>
        <w:rPr>
          <w:rFonts w:hint="eastAsia" w:ascii="仿宋_GB2312"/>
          <w:highlight w:val="none"/>
          <w:lang w:eastAsia="zh-CN"/>
        </w:rPr>
        <w:t>2021年</w:t>
      </w:r>
      <w:r>
        <w:rPr>
          <w:rFonts w:hint="eastAsia" w:ascii="仿宋_GB2312"/>
          <w:highlight w:val="none"/>
        </w:rPr>
        <w:t>省级</w:t>
      </w:r>
      <w:r>
        <w:rPr>
          <w:rFonts w:hint="eastAsia" w:ascii="仿宋_GB2312"/>
          <w:highlight w:val="none"/>
          <w:lang w:val="en-US" w:eastAsia="zh-CN"/>
        </w:rPr>
        <w:t>部门</w:t>
      </w:r>
      <w:r>
        <w:rPr>
          <w:rFonts w:hint="eastAsia" w:ascii="仿宋_GB2312"/>
          <w:highlight w:val="none"/>
        </w:rPr>
        <w:t>预算项目绩效目标</w:t>
      </w:r>
    </w:p>
    <w:p>
      <w:pPr>
        <w:ind w:firstLine="960" w:firstLineChars="300"/>
        <w:rPr>
          <w:rFonts w:hint="eastAsia" w:ascii="仿宋_GB2312"/>
          <w:highlight w:val="none"/>
        </w:rPr>
      </w:pPr>
    </w:p>
    <w:p>
      <w:pPr>
        <w:ind w:firstLine="960" w:firstLineChars="300"/>
        <w:rPr>
          <w:rFonts w:hint="eastAsia" w:ascii="仿宋_GB2312"/>
          <w:highlight w:val="none"/>
        </w:rPr>
      </w:pPr>
    </w:p>
    <w:p>
      <w:pPr>
        <w:ind w:firstLine="960" w:firstLineChars="300"/>
        <w:rPr>
          <w:rFonts w:hint="eastAsia" w:ascii="仿宋_GB2312"/>
          <w:highlight w:val="none"/>
          <w:lang w:val="en-US" w:eastAsia="zh-CN"/>
        </w:rPr>
      </w:pPr>
      <w:r>
        <w:rPr>
          <w:rFonts w:hint="eastAsia" w:ascii="仿宋_GB2312"/>
          <w:highlight w:val="none"/>
          <w:lang w:val="en-US" w:eastAsia="zh-CN"/>
        </w:rPr>
        <w:t xml:space="preserve">                 四川省经济和社会发展研究院</w:t>
      </w:r>
    </w:p>
    <w:p>
      <w:pPr>
        <w:ind w:firstLine="960" w:firstLineChars="300"/>
        <w:rPr>
          <w:rFonts w:hint="default" w:ascii="仿宋_GB2312"/>
          <w:highlight w:val="none"/>
          <w:lang w:val="en-US" w:eastAsia="zh-CN"/>
        </w:rPr>
      </w:pPr>
      <w:r>
        <w:rPr>
          <w:rFonts w:hint="eastAsia" w:ascii="仿宋_GB2312"/>
          <w:highlight w:val="none"/>
          <w:lang w:val="en-US" w:eastAsia="zh-CN"/>
        </w:rPr>
        <w:t xml:space="preserve">                       2021年3月9日</w:t>
      </w:r>
    </w:p>
    <w:sectPr>
      <w:footerReference r:id="rId3" w:type="default"/>
      <w:footerReference r:id="rId4" w:type="even"/>
      <w:pgSz w:w="11906" w:h="16838"/>
      <w:pgMar w:top="1247" w:right="1542" w:bottom="1247" w:left="2098"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30"/>
        <w:szCs w:val="30"/>
      </w:rPr>
    </w:pPr>
    <w:r>
      <w:rPr>
        <w:rFonts w:ascii="宋体" w:hAnsi="宋体"/>
        <w:sz w:val="30"/>
        <w:szCs w:val="30"/>
      </w:rPr>
      <w:fldChar w:fldCharType="begin"/>
    </w:r>
    <w:r>
      <w:rPr>
        <w:rStyle w:val="7"/>
        <w:rFonts w:ascii="宋体" w:hAnsi="宋体"/>
        <w:sz w:val="30"/>
        <w:szCs w:val="30"/>
      </w:rPr>
      <w:instrText xml:space="preserve">PAGE  </w:instrText>
    </w:r>
    <w:r>
      <w:rPr>
        <w:rFonts w:ascii="宋体" w:hAnsi="宋体"/>
        <w:sz w:val="30"/>
        <w:szCs w:val="30"/>
      </w:rPr>
      <w:fldChar w:fldCharType="separate"/>
    </w:r>
    <w:r>
      <w:rPr>
        <w:rStyle w:val="7"/>
        <w:rFonts w:ascii="宋体" w:hAnsi="宋体"/>
        <w:sz w:val="30"/>
        <w:szCs w:val="30"/>
      </w:rPr>
      <w:t>- 4 -</w:t>
    </w:r>
    <w:r>
      <w:rPr>
        <w:rFonts w:ascii="宋体" w:hAnsi="宋体"/>
        <w:sz w:val="30"/>
        <w:szCs w:val="30"/>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14330"/>
    <w:multiLevelType w:val="singleLevel"/>
    <w:tmpl w:val="82C14330"/>
    <w:lvl w:ilvl="0" w:tentative="0">
      <w:start w:val="2"/>
      <w:numFmt w:val="chineseCounting"/>
      <w:suff w:val="nothing"/>
      <w:lvlText w:val="（%1）"/>
      <w:lvlJc w:val="left"/>
      <w:rPr>
        <w:rFonts w:hint="eastAsia"/>
      </w:rPr>
    </w:lvl>
  </w:abstractNum>
  <w:abstractNum w:abstractNumId="1">
    <w:nsid w:val="E2C371AB"/>
    <w:multiLevelType w:val="singleLevel"/>
    <w:tmpl w:val="E2C371A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zM4OTVhMjI4YTM1M2Q2NzI4YmRjMTg2MzlmYjkifQ=="/>
  </w:docVars>
  <w:rsids>
    <w:rsidRoot w:val="00000000"/>
    <w:rsid w:val="004D5692"/>
    <w:rsid w:val="0133334A"/>
    <w:rsid w:val="01695955"/>
    <w:rsid w:val="02392756"/>
    <w:rsid w:val="02D572C3"/>
    <w:rsid w:val="03E2184E"/>
    <w:rsid w:val="05990267"/>
    <w:rsid w:val="072760F4"/>
    <w:rsid w:val="09A82372"/>
    <w:rsid w:val="09CC5882"/>
    <w:rsid w:val="09F4593F"/>
    <w:rsid w:val="0A1D05C8"/>
    <w:rsid w:val="0B0532DD"/>
    <w:rsid w:val="0B7F68BB"/>
    <w:rsid w:val="0D686928"/>
    <w:rsid w:val="0F6109B1"/>
    <w:rsid w:val="1264418D"/>
    <w:rsid w:val="12B617D0"/>
    <w:rsid w:val="12D17B44"/>
    <w:rsid w:val="132A6EF6"/>
    <w:rsid w:val="13514F6D"/>
    <w:rsid w:val="1B233522"/>
    <w:rsid w:val="1FCA040D"/>
    <w:rsid w:val="21F72055"/>
    <w:rsid w:val="22614A38"/>
    <w:rsid w:val="22FC7BE7"/>
    <w:rsid w:val="230E3708"/>
    <w:rsid w:val="246840D4"/>
    <w:rsid w:val="25641364"/>
    <w:rsid w:val="25DD5E02"/>
    <w:rsid w:val="26246EF6"/>
    <w:rsid w:val="28F43316"/>
    <w:rsid w:val="29273B2B"/>
    <w:rsid w:val="2973203C"/>
    <w:rsid w:val="29B037C5"/>
    <w:rsid w:val="2A72294E"/>
    <w:rsid w:val="2C095FD3"/>
    <w:rsid w:val="2E6642AD"/>
    <w:rsid w:val="304F37DF"/>
    <w:rsid w:val="30BE53CF"/>
    <w:rsid w:val="30C61D9E"/>
    <w:rsid w:val="31C72538"/>
    <w:rsid w:val="33861983"/>
    <w:rsid w:val="33F73790"/>
    <w:rsid w:val="34C76339"/>
    <w:rsid w:val="358C43F7"/>
    <w:rsid w:val="37145770"/>
    <w:rsid w:val="392428FA"/>
    <w:rsid w:val="3BEF0488"/>
    <w:rsid w:val="3C2E7C9C"/>
    <w:rsid w:val="3F83026C"/>
    <w:rsid w:val="42C732F0"/>
    <w:rsid w:val="45980342"/>
    <w:rsid w:val="45B46429"/>
    <w:rsid w:val="46EF0B6F"/>
    <w:rsid w:val="484C0EBF"/>
    <w:rsid w:val="49AE271D"/>
    <w:rsid w:val="4C7C6136"/>
    <w:rsid w:val="501E4350"/>
    <w:rsid w:val="512C569C"/>
    <w:rsid w:val="51755818"/>
    <w:rsid w:val="51840D9D"/>
    <w:rsid w:val="52C15009"/>
    <w:rsid w:val="52EC506B"/>
    <w:rsid w:val="562743CD"/>
    <w:rsid w:val="569C3F33"/>
    <w:rsid w:val="5AD738A7"/>
    <w:rsid w:val="5B903F22"/>
    <w:rsid w:val="5DC97B0C"/>
    <w:rsid w:val="5E803178"/>
    <w:rsid w:val="5F4A26B0"/>
    <w:rsid w:val="5FC71DDE"/>
    <w:rsid w:val="62F56057"/>
    <w:rsid w:val="63711A1A"/>
    <w:rsid w:val="64A304CC"/>
    <w:rsid w:val="64E25404"/>
    <w:rsid w:val="676F746A"/>
    <w:rsid w:val="679A6746"/>
    <w:rsid w:val="68CF054E"/>
    <w:rsid w:val="699D3AE5"/>
    <w:rsid w:val="69AA5BDC"/>
    <w:rsid w:val="6A677EB7"/>
    <w:rsid w:val="6B6468A6"/>
    <w:rsid w:val="6E1A49BE"/>
    <w:rsid w:val="707F6EB0"/>
    <w:rsid w:val="73642B02"/>
    <w:rsid w:val="75BC78DD"/>
    <w:rsid w:val="77435220"/>
    <w:rsid w:val="78975CEB"/>
    <w:rsid w:val="78D06B26"/>
    <w:rsid w:val="78F148D9"/>
    <w:rsid w:val="7A7372BB"/>
    <w:rsid w:val="7CD23D39"/>
    <w:rsid w:val="7DA0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2021-03-04T08:24:00Z</dcterms:created>
  <dc:creator>DELL</dc:creator>
  <cp:lastModifiedBy>DELL</cp:lastModifiedBy>
  <dcterms:modified xsi:type="dcterms:W3CDTF">2022-10-13T08:00:01Z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CED34075C1224FCAAA8C10C31E24252D</vt:lpwstr>
  </property>
</Properties>
</file>